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A02" w:rsidRPr="00545F65" w:rsidRDefault="00805A02" w:rsidP="00805A02">
      <w:pPr>
        <w:pStyle w:val="Heading1"/>
        <w:spacing w:before="0" w:after="120" w:line="240" w:lineRule="auto"/>
        <w:rPr>
          <w:rFonts w:asciiTheme="minorHAnsi" w:hAnsiTheme="minorHAnsi"/>
          <w:color w:val="auto"/>
          <w:sz w:val="22"/>
          <w:szCs w:val="22"/>
        </w:rPr>
      </w:pPr>
      <w:bookmarkStart w:id="0" w:name="_Toc354749587"/>
      <w:r w:rsidRPr="00545F65">
        <w:rPr>
          <w:rFonts w:asciiTheme="minorHAnsi" w:hAnsiTheme="minorHAnsi"/>
          <w:color w:val="auto"/>
          <w:sz w:val="22"/>
          <w:szCs w:val="22"/>
        </w:rPr>
        <w:t>Qualifications with significant contributions from overseas institutions and/or delivered offshore by New Zealand universities</w:t>
      </w:r>
      <w:bookmarkEnd w:id="0"/>
    </w:p>
    <w:p w:rsidR="00805A02" w:rsidRPr="00545F65" w:rsidRDefault="00805A02" w:rsidP="00805A02">
      <w:pPr>
        <w:spacing w:after="120" w:line="240" w:lineRule="auto"/>
        <w:rPr>
          <w:rFonts w:asciiTheme="minorHAnsi" w:hAnsiTheme="minorHAnsi"/>
        </w:rPr>
      </w:pPr>
      <w:r w:rsidRPr="00545F65">
        <w:rPr>
          <w:rFonts w:asciiTheme="minorHAnsi" w:hAnsiTheme="minorHAnsi"/>
        </w:rPr>
        <w:t xml:space="preserve">Effective from 1 January 2014. </w:t>
      </w:r>
      <w:r w:rsidR="007B0826" w:rsidRPr="00545F65">
        <w:rPr>
          <w:rFonts w:asciiTheme="minorHAnsi" w:hAnsiTheme="minorHAnsi"/>
        </w:rPr>
        <w:t>D</w:t>
      </w:r>
      <w:r w:rsidRPr="00545F65">
        <w:rPr>
          <w:rFonts w:asciiTheme="minorHAnsi" w:hAnsiTheme="minorHAnsi"/>
        </w:rPr>
        <w:t>o not apply to programmes offered by New Zealand universities by distance delivery to students outside New Zealand.</w:t>
      </w:r>
    </w:p>
    <w:p w:rsidR="00EC460D" w:rsidRPr="00545F65" w:rsidRDefault="00EC460D" w:rsidP="005A1A30">
      <w:pPr>
        <w:pStyle w:val="Heading2"/>
        <w:numPr>
          <w:ilvl w:val="0"/>
          <w:numId w:val="0"/>
        </w:numPr>
        <w:tabs>
          <w:tab w:val="left" w:pos="1701"/>
        </w:tabs>
        <w:spacing w:before="240" w:after="120" w:line="240" w:lineRule="auto"/>
        <w:rPr>
          <w:rFonts w:asciiTheme="minorHAnsi" w:hAnsiTheme="minorHAnsi"/>
          <w:b w:val="0"/>
          <w:sz w:val="22"/>
          <w:szCs w:val="22"/>
        </w:rPr>
      </w:pPr>
      <w:bookmarkStart w:id="1" w:name="_Toc354749588"/>
      <w:r w:rsidRPr="00545F65">
        <w:rPr>
          <w:rFonts w:asciiTheme="minorHAnsi" w:hAnsiTheme="minorHAnsi"/>
          <w:sz w:val="22"/>
          <w:szCs w:val="22"/>
        </w:rPr>
        <w:t xml:space="preserve">University: </w:t>
      </w:r>
      <w:r w:rsidR="005A1A30" w:rsidRPr="00545F65">
        <w:rPr>
          <w:rFonts w:asciiTheme="minorHAnsi" w:hAnsiTheme="minorHAnsi"/>
          <w:sz w:val="22"/>
          <w:szCs w:val="22"/>
        </w:rPr>
        <w:tab/>
      </w:r>
      <w:r w:rsidR="005A1A30" w:rsidRPr="00545F65">
        <w:rPr>
          <w:rFonts w:asciiTheme="minorHAnsi" w:hAnsiTheme="minorHAnsi"/>
          <w:b w:val="0"/>
          <w:sz w:val="22"/>
          <w:szCs w:val="22"/>
        </w:rPr>
        <w:t>Massey University</w:t>
      </w:r>
    </w:p>
    <w:p w:rsidR="00EC460D" w:rsidRPr="00545F65" w:rsidRDefault="00EC460D" w:rsidP="005A1A30">
      <w:pPr>
        <w:pStyle w:val="Heading2"/>
        <w:numPr>
          <w:ilvl w:val="0"/>
          <w:numId w:val="0"/>
        </w:numPr>
        <w:tabs>
          <w:tab w:val="left" w:pos="1701"/>
        </w:tabs>
        <w:spacing w:before="240" w:after="120" w:line="240" w:lineRule="auto"/>
        <w:rPr>
          <w:rFonts w:asciiTheme="minorHAnsi" w:hAnsiTheme="minorHAnsi"/>
          <w:b w:val="0"/>
          <w:sz w:val="22"/>
          <w:szCs w:val="22"/>
        </w:rPr>
      </w:pPr>
      <w:r w:rsidRPr="00545F65">
        <w:rPr>
          <w:rFonts w:asciiTheme="minorHAnsi" w:hAnsiTheme="minorHAnsi"/>
          <w:sz w:val="22"/>
          <w:szCs w:val="22"/>
        </w:rPr>
        <w:t>Qualification:</w:t>
      </w:r>
      <w:r w:rsidRPr="00545F65">
        <w:rPr>
          <w:rFonts w:asciiTheme="minorHAnsi" w:hAnsiTheme="minorHAnsi"/>
          <w:b w:val="0"/>
          <w:sz w:val="22"/>
          <w:szCs w:val="22"/>
        </w:rPr>
        <w:t xml:space="preserve"> </w:t>
      </w:r>
      <w:r w:rsidR="005A1A30" w:rsidRPr="00545F65">
        <w:rPr>
          <w:rFonts w:asciiTheme="minorHAnsi" w:hAnsiTheme="minorHAnsi"/>
          <w:b w:val="0"/>
          <w:sz w:val="22"/>
          <w:szCs w:val="22"/>
        </w:rPr>
        <w:tab/>
      </w:r>
    </w:p>
    <w:p w:rsidR="00805A02" w:rsidRPr="00545F65" w:rsidRDefault="00EC460D" w:rsidP="00805A02">
      <w:pPr>
        <w:pStyle w:val="Heading2"/>
        <w:numPr>
          <w:ilvl w:val="0"/>
          <w:numId w:val="0"/>
        </w:numPr>
        <w:spacing w:before="240" w:after="120" w:line="240" w:lineRule="auto"/>
        <w:rPr>
          <w:rFonts w:asciiTheme="minorHAnsi" w:hAnsiTheme="minorHAnsi"/>
          <w:sz w:val="22"/>
          <w:szCs w:val="22"/>
        </w:rPr>
      </w:pPr>
      <w:r w:rsidRPr="00545F65">
        <w:rPr>
          <w:rFonts w:asciiTheme="minorHAnsi" w:hAnsiTheme="minorHAnsi"/>
          <w:sz w:val="22"/>
          <w:szCs w:val="22"/>
        </w:rPr>
        <w:t>S</w:t>
      </w:r>
      <w:r w:rsidR="00805A02" w:rsidRPr="00545F65">
        <w:rPr>
          <w:rFonts w:asciiTheme="minorHAnsi" w:hAnsiTheme="minorHAnsi"/>
          <w:sz w:val="22"/>
          <w:szCs w:val="22"/>
        </w:rPr>
        <w:t>ignificant contribution</w:t>
      </w:r>
      <w:bookmarkEnd w:id="1"/>
    </w:p>
    <w:p w:rsidR="00E70FC8" w:rsidRPr="00545F65" w:rsidRDefault="007B0826" w:rsidP="00E70FC8">
      <w:pPr>
        <w:tabs>
          <w:tab w:val="left" w:pos="7655"/>
        </w:tabs>
        <w:spacing w:after="0" w:line="240" w:lineRule="auto"/>
        <w:jc w:val="center"/>
        <w:rPr>
          <w:rFonts w:asciiTheme="minorHAnsi" w:hAnsiTheme="minorHAnsi"/>
          <w:b/>
        </w:rPr>
      </w:pPr>
      <w:r w:rsidRPr="00545F65">
        <w:rPr>
          <w:rFonts w:asciiTheme="minorHAnsi" w:hAnsiTheme="minorHAnsi"/>
        </w:rPr>
        <w:t>T</w:t>
      </w:r>
      <w:r w:rsidR="00805A02" w:rsidRPr="00545F65">
        <w:rPr>
          <w:rFonts w:asciiTheme="minorHAnsi" w:hAnsiTheme="minorHAnsi"/>
        </w:rPr>
        <w:t>he overseas institution contributes one or more of the following:</w:t>
      </w:r>
      <w:r w:rsidR="00E70FC8" w:rsidRPr="00545F65">
        <w:rPr>
          <w:rFonts w:asciiTheme="minorHAnsi" w:hAnsiTheme="minorHAnsi"/>
        </w:rPr>
        <w:tab/>
      </w:r>
      <w:r w:rsidR="001C7411" w:rsidRPr="00545F65">
        <w:rPr>
          <w:rFonts w:asciiTheme="minorHAnsi" w:hAnsiTheme="minorHAnsi"/>
          <w:b/>
        </w:rPr>
        <w:t xml:space="preserve">Tick those that </w:t>
      </w:r>
      <w:r w:rsidR="001C7411" w:rsidRPr="00545F65">
        <w:rPr>
          <w:rFonts w:asciiTheme="minorHAnsi" w:hAnsiTheme="minorHAnsi"/>
          <w:b/>
        </w:rPr>
        <w:tab/>
      </w:r>
      <w:r w:rsidR="00E70FC8" w:rsidRPr="00545F65">
        <w:rPr>
          <w:rFonts w:asciiTheme="minorHAnsi" w:hAnsiTheme="minorHAnsi"/>
          <w:b/>
        </w:rPr>
        <w:t>apply (</w:t>
      </w:r>
      <w:r w:rsidR="00E70FC8" w:rsidRPr="00545F65">
        <w:rPr>
          <w:rFonts w:asciiTheme="minorHAnsi" w:hAnsiTheme="minorHAnsi"/>
          <w:b/>
        </w:rPr>
        <w:sym w:font="Wingdings" w:char="F0FC"/>
      </w:r>
      <w:r w:rsidR="00E70FC8" w:rsidRPr="00545F65">
        <w:rPr>
          <w:rFonts w:asciiTheme="minorHAnsi" w:hAnsiTheme="minorHAnsi"/>
          <w:b/>
        </w:rPr>
        <w:t>)</w:t>
      </w:r>
    </w:p>
    <w:tbl>
      <w:tblPr>
        <w:tblStyle w:val="TableGrid"/>
        <w:tblW w:w="9747" w:type="dxa"/>
        <w:tblLook w:val="04A0" w:firstRow="1" w:lastRow="0" w:firstColumn="1" w:lastColumn="0" w:noHBand="0" w:noVBand="1"/>
      </w:tblPr>
      <w:tblGrid>
        <w:gridCol w:w="7763"/>
        <w:gridCol w:w="1984"/>
      </w:tblGrid>
      <w:tr w:rsidR="00805A02" w:rsidRPr="00545F65" w:rsidTr="001C7411">
        <w:tc>
          <w:tcPr>
            <w:tcW w:w="7763" w:type="dxa"/>
            <w:shd w:val="clear" w:color="auto" w:fill="auto"/>
          </w:tcPr>
          <w:p w:rsidR="00805A02" w:rsidRPr="00545F65" w:rsidRDefault="00805A02" w:rsidP="004A5BB4">
            <w:pPr>
              <w:tabs>
                <w:tab w:val="left" w:pos="426"/>
              </w:tabs>
              <w:spacing w:after="120"/>
              <w:rPr>
                <w:rFonts w:asciiTheme="minorHAnsi" w:hAnsiTheme="minorHAnsi"/>
              </w:rPr>
            </w:pPr>
            <w:r w:rsidRPr="00545F65">
              <w:rPr>
                <w:rFonts w:asciiTheme="minorHAnsi" w:hAnsiTheme="minorHAnsi"/>
              </w:rPr>
              <w:t>the core of a programme</w:t>
            </w:r>
          </w:p>
        </w:tc>
        <w:tc>
          <w:tcPr>
            <w:tcW w:w="1984" w:type="dxa"/>
            <w:shd w:val="clear" w:color="auto" w:fill="auto"/>
          </w:tcPr>
          <w:p w:rsidR="00805A02" w:rsidRPr="00545F65" w:rsidRDefault="00805A02" w:rsidP="00E70FC8">
            <w:pPr>
              <w:tabs>
                <w:tab w:val="left" w:pos="426"/>
              </w:tabs>
              <w:spacing w:after="120"/>
              <w:jc w:val="center"/>
              <w:rPr>
                <w:rFonts w:asciiTheme="minorHAnsi" w:hAnsiTheme="minorHAnsi"/>
              </w:rPr>
            </w:pPr>
          </w:p>
        </w:tc>
      </w:tr>
      <w:tr w:rsidR="00805A02" w:rsidRPr="00545F65" w:rsidTr="001C7411">
        <w:tc>
          <w:tcPr>
            <w:tcW w:w="7763" w:type="dxa"/>
            <w:shd w:val="clear" w:color="auto" w:fill="auto"/>
          </w:tcPr>
          <w:p w:rsidR="00805A02" w:rsidRPr="00545F65" w:rsidRDefault="00805A02" w:rsidP="004A5BB4">
            <w:pPr>
              <w:tabs>
                <w:tab w:val="left" w:pos="426"/>
              </w:tabs>
              <w:spacing w:after="120"/>
              <w:rPr>
                <w:rFonts w:asciiTheme="minorHAnsi" w:hAnsiTheme="minorHAnsi"/>
              </w:rPr>
            </w:pPr>
            <w:r w:rsidRPr="00545F65">
              <w:rPr>
                <w:rFonts w:asciiTheme="minorHAnsi" w:hAnsiTheme="minorHAnsi"/>
              </w:rPr>
              <w:t>an entire major subject</w:t>
            </w:r>
          </w:p>
        </w:tc>
        <w:tc>
          <w:tcPr>
            <w:tcW w:w="1984" w:type="dxa"/>
            <w:shd w:val="clear" w:color="auto" w:fill="auto"/>
          </w:tcPr>
          <w:p w:rsidR="00805A02" w:rsidRPr="00545F65" w:rsidRDefault="00805A02" w:rsidP="00E70FC8">
            <w:pPr>
              <w:tabs>
                <w:tab w:val="left" w:pos="426"/>
              </w:tabs>
              <w:spacing w:after="120"/>
              <w:jc w:val="center"/>
              <w:rPr>
                <w:rFonts w:asciiTheme="minorHAnsi" w:hAnsiTheme="minorHAnsi"/>
              </w:rPr>
            </w:pPr>
          </w:p>
        </w:tc>
      </w:tr>
      <w:tr w:rsidR="00805A02" w:rsidRPr="00545F65" w:rsidTr="001C7411">
        <w:tc>
          <w:tcPr>
            <w:tcW w:w="7763" w:type="dxa"/>
            <w:shd w:val="clear" w:color="auto" w:fill="auto"/>
          </w:tcPr>
          <w:p w:rsidR="00805A02" w:rsidRPr="00545F65" w:rsidRDefault="00805A02" w:rsidP="004A5BB4">
            <w:pPr>
              <w:tabs>
                <w:tab w:val="left" w:pos="426"/>
              </w:tabs>
              <w:spacing w:after="120"/>
              <w:rPr>
                <w:rFonts w:asciiTheme="minorHAnsi" w:hAnsiTheme="minorHAnsi"/>
              </w:rPr>
            </w:pPr>
            <w:proofErr w:type="gramStart"/>
            <w:r w:rsidRPr="00545F65">
              <w:rPr>
                <w:rFonts w:asciiTheme="minorHAnsi" w:hAnsiTheme="minorHAnsi"/>
              </w:rPr>
              <w:t>more</w:t>
            </w:r>
            <w:proofErr w:type="gramEnd"/>
            <w:r w:rsidRPr="00545F65">
              <w:rPr>
                <w:rFonts w:asciiTheme="minorHAnsi" w:hAnsiTheme="minorHAnsi"/>
              </w:rPr>
              <w:t xml:space="preserve"> than 60 credits (0.5 EFTS).</w:t>
            </w:r>
          </w:p>
        </w:tc>
        <w:tc>
          <w:tcPr>
            <w:tcW w:w="1984" w:type="dxa"/>
            <w:shd w:val="clear" w:color="auto" w:fill="auto"/>
          </w:tcPr>
          <w:p w:rsidR="00805A02" w:rsidRPr="00545F65" w:rsidRDefault="00805A02" w:rsidP="00E70FC8">
            <w:pPr>
              <w:tabs>
                <w:tab w:val="left" w:pos="426"/>
              </w:tabs>
              <w:spacing w:after="120"/>
              <w:jc w:val="center"/>
              <w:rPr>
                <w:rFonts w:asciiTheme="minorHAnsi" w:hAnsiTheme="minorHAnsi"/>
                <w:b/>
              </w:rPr>
            </w:pPr>
          </w:p>
        </w:tc>
      </w:tr>
    </w:tbl>
    <w:p w:rsidR="00EF2FD6" w:rsidRPr="00545F65" w:rsidRDefault="00EC460D" w:rsidP="001C7411">
      <w:pPr>
        <w:pStyle w:val="Heading2"/>
        <w:numPr>
          <w:ilvl w:val="0"/>
          <w:numId w:val="0"/>
        </w:numPr>
        <w:spacing w:before="120" w:after="120" w:line="240" w:lineRule="auto"/>
        <w:rPr>
          <w:rFonts w:asciiTheme="minorHAnsi" w:hAnsiTheme="minorHAnsi"/>
          <w:sz w:val="22"/>
          <w:szCs w:val="22"/>
        </w:rPr>
      </w:pPr>
      <w:bookmarkStart w:id="2" w:name="_Toc354749589"/>
      <w:r w:rsidRPr="00545F65">
        <w:rPr>
          <w:rFonts w:asciiTheme="minorHAnsi" w:hAnsiTheme="minorHAnsi"/>
          <w:sz w:val="22"/>
          <w:szCs w:val="22"/>
        </w:rPr>
        <w:t>Qualification status:</w:t>
      </w:r>
    </w:p>
    <w:tbl>
      <w:tblPr>
        <w:tblStyle w:val="TableGrid"/>
        <w:tblW w:w="9747" w:type="dxa"/>
        <w:tblLook w:val="04A0" w:firstRow="1" w:lastRow="0" w:firstColumn="1" w:lastColumn="0" w:noHBand="0" w:noVBand="1"/>
      </w:tblPr>
      <w:tblGrid>
        <w:gridCol w:w="7763"/>
        <w:gridCol w:w="1984"/>
      </w:tblGrid>
      <w:tr w:rsidR="00EF2FD6" w:rsidRPr="00545F65" w:rsidTr="001C7411">
        <w:tc>
          <w:tcPr>
            <w:tcW w:w="7763" w:type="dxa"/>
          </w:tcPr>
          <w:p w:rsidR="00EF2FD6" w:rsidRPr="00545F65" w:rsidRDefault="00EF2FD6" w:rsidP="00E70FC8">
            <w:pPr>
              <w:spacing w:after="120"/>
              <w:rPr>
                <w:rFonts w:asciiTheme="minorHAnsi" w:hAnsiTheme="minorHAnsi"/>
              </w:rPr>
            </w:pPr>
            <w:r w:rsidRPr="00545F65">
              <w:rPr>
                <w:rFonts w:asciiTheme="minorHAnsi" w:hAnsiTheme="minorHAnsi"/>
              </w:rPr>
              <w:t>New qualification</w:t>
            </w:r>
            <w:r w:rsidR="00E70FC8" w:rsidRPr="00545F65">
              <w:rPr>
                <w:rFonts w:asciiTheme="minorHAnsi" w:hAnsiTheme="minorHAnsi"/>
              </w:rPr>
              <w:t xml:space="preserve"> (see S</w:t>
            </w:r>
            <w:r w:rsidRPr="00545F65">
              <w:rPr>
                <w:rFonts w:asciiTheme="minorHAnsi" w:hAnsiTheme="minorHAnsi"/>
              </w:rPr>
              <w:t xml:space="preserve">ection 5 </w:t>
            </w:r>
            <w:r w:rsidR="00E70FC8" w:rsidRPr="00545F65">
              <w:rPr>
                <w:rFonts w:asciiTheme="minorHAnsi" w:hAnsiTheme="minorHAnsi"/>
              </w:rPr>
              <w:t>CUAP Handbook</w:t>
            </w:r>
            <w:r w:rsidRPr="00545F65">
              <w:rPr>
                <w:rFonts w:asciiTheme="minorHAnsi" w:hAnsiTheme="minorHAnsi"/>
              </w:rPr>
              <w:t>)</w:t>
            </w:r>
          </w:p>
        </w:tc>
        <w:tc>
          <w:tcPr>
            <w:tcW w:w="1984" w:type="dxa"/>
          </w:tcPr>
          <w:p w:rsidR="00EF2FD6" w:rsidRPr="00545F65" w:rsidRDefault="00EF2FD6" w:rsidP="004011DB">
            <w:pPr>
              <w:spacing w:after="120"/>
              <w:rPr>
                <w:rFonts w:asciiTheme="minorHAnsi" w:hAnsiTheme="minorHAnsi"/>
              </w:rPr>
            </w:pPr>
          </w:p>
        </w:tc>
      </w:tr>
      <w:tr w:rsidR="00EF2FD6" w:rsidRPr="00545F65" w:rsidTr="001C7411">
        <w:tc>
          <w:tcPr>
            <w:tcW w:w="7763" w:type="dxa"/>
            <w:shd w:val="clear" w:color="auto" w:fill="auto"/>
          </w:tcPr>
          <w:p w:rsidR="00EF2FD6" w:rsidRPr="00545F65" w:rsidRDefault="00EF2FD6" w:rsidP="00E70FC8">
            <w:pPr>
              <w:spacing w:after="120"/>
              <w:rPr>
                <w:rFonts w:asciiTheme="minorHAnsi" w:hAnsiTheme="minorHAnsi"/>
              </w:rPr>
            </w:pPr>
            <w:r w:rsidRPr="00545F65">
              <w:rPr>
                <w:rFonts w:asciiTheme="minorHAnsi" w:hAnsiTheme="minorHAnsi"/>
              </w:rPr>
              <w:t>Existing qualification (</w:t>
            </w:r>
            <w:r w:rsidR="00E70FC8" w:rsidRPr="00545F65">
              <w:rPr>
                <w:rFonts w:asciiTheme="minorHAnsi" w:hAnsiTheme="minorHAnsi"/>
              </w:rPr>
              <w:t xml:space="preserve">see </w:t>
            </w:r>
            <w:r w:rsidR="00D80B4F" w:rsidRPr="00D80B4F">
              <w:rPr>
                <w:rFonts w:asciiTheme="minorHAnsi" w:hAnsiTheme="minorHAnsi"/>
              </w:rPr>
              <w:t xml:space="preserve">Section </w:t>
            </w:r>
            <w:r w:rsidRPr="00545F65">
              <w:rPr>
                <w:rFonts w:asciiTheme="minorHAnsi" w:hAnsiTheme="minorHAnsi"/>
              </w:rPr>
              <w:t>17.4.2</w:t>
            </w:r>
            <w:r w:rsidR="00305D9D">
              <w:rPr>
                <w:rFonts w:asciiTheme="minorHAnsi" w:hAnsiTheme="minorHAnsi"/>
              </w:rPr>
              <w:t xml:space="preserve"> </w:t>
            </w:r>
            <w:r w:rsidR="00305D9D" w:rsidRPr="00545F65">
              <w:rPr>
                <w:rFonts w:asciiTheme="minorHAnsi" w:hAnsiTheme="minorHAnsi"/>
              </w:rPr>
              <w:t>CUAP Handbook</w:t>
            </w:r>
            <w:r w:rsidRPr="00545F65">
              <w:rPr>
                <w:rFonts w:asciiTheme="minorHAnsi" w:hAnsiTheme="minorHAnsi"/>
              </w:rPr>
              <w:t>)</w:t>
            </w:r>
          </w:p>
        </w:tc>
        <w:tc>
          <w:tcPr>
            <w:tcW w:w="1984" w:type="dxa"/>
            <w:shd w:val="clear" w:color="auto" w:fill="auto"/>
          </w:tcPr>
          <w:p w:rsidR="00EF2FD6" w:rsidRPr="00545F65" w:rsidRDefault="00EF2FD6" w:rsidP="004011DB">
            <w:pPr>
              <w:spacing w:after="120"/>
              <w:rPr>
                <w:rFonts w:asciiTheme="minorHAnsi" w:hAnsiTheme="minorHAnsi"/>
                <w:b/>
              </w:rPr>
            </w:pPr>
          </w:p>
        </w:tc>
      </w:tr>
    </w:tbl>
    <w:p w:rsidR="00EF2FD6" w:rsidRPr="00545F65" w:rsidRDefault="00EF2FD6" w:rsidP="001C7411">
      <w:pPr>
        <w:pStyle w:val="Heading2"/>
        <w:numPr>
          <w:ilvl w:val="0"/>
          <w:numId w:val="0"/>
        </w:numPr>
        <w:spacing w:before="0" w:line="240" w:lineRule="auto"/>
        <w:rPr>
          <w:rFonts w:asciiTheme="minorHAnsi" w:hAnsiTheme="minorHAnsi"/>
          <w:sz w:val="22"/>
          <w:szCs w:val="22"/>
        </w:rPr>
      </w:pPr>
    </w:p>
    <w:tbl>
      <w:tblPr>
        <w:tblStyle w:val="TableGrid"/>
        <w:tblW w:w="9747" w:type="dxa"/>
        <w:tblLook w:val="04A0" w:firstRow="1" w:lastRow="0" w:firstColumn="1" w:lastColumn="0" w:noHBand="0" w:noVBand="1"/>
      </w:tblPr>
      <w:tblGrid>
        <w:gridCol w:w="7763"/>
        <w:gridCol w:w="1984"/>
      </w:tblGrid>
      <w:tr w:rsidR="00805A02" w:rsidRPr="00545F65" w:rsidTr="001C7411">
        <w:tc>
          <w:tcPr>
            <w:tcW w:w="7763" w:type="dxa"/>
            <w:shd w:val="clear" w:color="auto" w:fill="auto"/>
          </w:tcPr>
          <w:bookmarkEnd w:id="2"/>
          <w:p w:rsidR="00805A02" w:rsidRPr="00545F65" w:rsidRDefault="00805A02" w:rsidP="00E70FC8">
            <w:pPr>
              <w:spacing w:after="120"/>
              <w:rPr>
                <w:rFonts w:asciiTheme="minorHAnsi" w:hAnsiTheme="minorHAnsi"/>
              </w:rPr>
            </w:pPr>
            <w:r w:rsidRPr="00545F65">
              <w:rPr>
                <w:rFonts w:asciiTheme="minorHAnsi" w:hAnsiTheme="minorHAnsi"/>
              </w:rPr>
              <w:t>Qualification to be jointly-awarded qualification with an overseas institution or institutions.</w:t>
            </w:r>
            <w:r w:rsidR="00E70FC8" w:rsidRPr="00545F65">
              <w:rPr>
                <w:rFonts w:asciiTheme="minorHAnsi" w:hAnsiTheme="minorHAnsi"/>
              </w:rPr>
              <w:t xml:space="preserve"> (see </w:t>
            </w:r>
            <w:r w:rsidR="00305D9D" w:rsidRPr="00305D9D">
              <w:rPr>
                <w:rFonts w:asciiTheme="minorHAnsi" w:hAnsiTheme="minorHAnsi"/>
              </w:rPr>
              <w:t xml:space="preserve">Section </w:t>
            </w:r>
            <w:r w:rsidR="00E70FC8" w:rsidRPr="00545F65">
              <w:rPr>
                <w:rFonts w:asciiTheme="minorHAnsi" w:hAnsiTheme="minorHAnsi"/>
              </w:rPr>
              <w:t>17.3</w:t>
            </w:r>
            <w:r w:rsidR="00305D9D">
              <w:rPr>
                <w:rFonts w:asciiTheme="minorHAnsi" w:hAnsiTheme="minorHAnsi"/>
              </w:rPr>
              <w:t xml:space="preserve"> </w:t>
            </w:r>
            <w:r w:rsidR="00305D9D" w:rsidRPr="00545F65">
              <w:rPr>
                <w:rFonts w:asciiTheme="minorHAnsi" w:hAnsiTheme="minorHAnsi"/>
              </w:rPr>
              <w:t>CUAP Handbook</w:t>
            </w:r>
            <w:r w:rsidR="00E70FC8" w:rsidRPr="00545F65">
              <w:rPr>
                <w:rFonts w:asciiTheme="minorHAnsi" w:hAnsiTheme="minorHAnsi"/>
              </w:rPr>
              <w:t>)</w:t>
            </w:r>
          </w:p>
        </w:tc>
        <w:tc>
          <w:tcPr>
            <w:tcW w:w="1984" w:type="dxa"/>
            <w:shd w:val="clear" w:color="auto" w:fill="auto"/>
          </w:tcPr>
          <w:p w:rsidR="00805A02" w:rsidRPr="00545F65" w:rsidRDefault="00805A02" w:rsidP="00805A02">
            <w:pPr>
              <w:spacing w:after="120"/>
              <w:rPr>
                <w:rFonts w:asciiTheme="minorHAnsi" w:hAnsiTheme="minorHAnsi"/>
              </w:rPr>
            </w:pPr>
          </w:p>
        </w:tc>
      </w:tr>
      <w:tr w:rsidR="00805A02" w:rsidRPr="00545F65" w:rsidTr="001C7411">
        <w:tc>
          <w:tcPr>
            <w:tcW w:w="7763" w:type="dxa"/>
            <w:shd w:val="clear" w:color="auto" w:fill="auto"/>
          </w:tcPr>
          <w:p w:rsidR="00805A02" w:rsidRPr="00545F65" w:rsidRDefault="00805A02" w:rsidP="00805A02">
            <w:pPr>
              <w:spacing w:after="120"/>
              <w:rPr>
                <w:rFonts w:asciiTheme="minorHAnsi" w:hAnsiTheme="minorHAnsi"/>
              </w:rPr>
            </w:pPr>
            <w:r w:rsidRPr="00545F65">
              <w:rPr>
                <w:rFonts w:asciiTheme="minorHAnsi" w:hAnsiTheme="minorHAnsi"/>
              </w:rPr>
              <w:t xml:space="preserve">Qualification to be taught (wholly or in part) by an overseas institution or institutions </w:t>
            </w:r>
          </w:p>
        </w:tc>
        <w:tc>
          <w:tcPr>
            <w:tcW w:w="1984" w:type="dxa"/>
            <w:shd w:val="clear" w:color="auto" w:fill="auto"/>
          </w:tcPr>
          <w:p w:rsidR="00805A02" w:rsidRPr="00545F65" w:rsidRDefault="00805A02" w:rsidP="00A36848">
            <w:pPr>
              <w:spacing w:after="120"/>
              <w:rPr>
                <w:rFonts w:asciiTheme="minorHAnsi" w:hAnsiTheme="minorHAnsi"/>
                <w:b/>
              </w:rPr>
            </w:pPr>
          </w:p>
        </w:tc>
      </w:tr>
      <w:tr w:rsidR="00805A02" w:rsidRPr="00545F65" w:rsidTr="001C7411">
        <w:tc>
          <w:tcPr>
            <w:tcW w:w="7763" w:type="dxa"/>
          </w:tcPr>
          <w:p w:rsidR="00805A02" w:rsidRPr="00545F65" w:rsidRDefault="00805A02" w:rsidP="00805A02">
            <w:pPr>
              <w:spacing w:after="120"/>
              <w:rPr>
                <w:rFonts w:asciiTheme="minorHAnsi" w:hAnsiTheme="minorHAnsi"/>
              </w:rPr>
            </w:pPr>
            <w:r w:rsidRPr="00545F65">
              <w:rPr>
                <w:rFonts w:asciiTheme="minorHAnsi" w:hAnsiTheme="minorHAnsi"/>
              </w:rPr>
              <w:t>NZ university to deliver a qualification offshore by itself.</w:t>
            </w:r>
            <w:r w:rsidR="00E70FC8" w:rsidRPr="00545F65">
              <w:rPr>
                <w:rFonts w:asciiTheme="minorHAnsi" w:hAnsiTheme="minorHAnsi"/>
              </w:rPr>
              <w:t xml:space="preserve"> (see </w:t>
            </w:r>
            <w:r w:rsidR="00305D9D" w:rsidRPr="00305D9D">
              <w:rPr>
                <w:rFonts w:asciiTheme="minorHAnsi" w:hAnsiTheme="minorHAnsi"/>
              </w:rPr>
              <w:t xml:space="preserve">Section </w:t>
            </w:r>
            <w:r w:rsidR="00E70FC8" w:rsidRPr="00545F65">
              <w:rPr>
                <w:rFonts w:asciiTheme="minorHAnsi" w:hAnsiTheme="minorHAnsi"/>
              </w:rPr>
              <w:t>17.5</w:t>
            </w:r>
            <w:r w:rsidR="00305D9D">
              <w:rPr>
                <w:rFonts w:asciiTheme="minorHAnsi" w:hAnsiTheme="minorHAnsi"/>
              </w:rPr>
              <w:t xml:space="preserve"> </w:t>
            </w:r>
            <w:r w:rsidR="00305D9D" w:rsidRPr="00545F65">
              <w:rPr>
                <w:rFonts w:asciiTheme="minorHAnsi" w:hAnsiTheme="minorHAnsi"/>
              </w:rPr>
              <w:t>CUAP Handbook</w:t>
            </w:r>
            <w:r w:rsidR="00E70FC8" w:rsidRPr="00545F65">
              <w:rPr>
                <w:rFonts w:asciiTheme="minorHAnsi" w:hAnsiTheme="minorHAnsi"/>
              </w:rPr>
              <w:t>)</w:t>
            </w:r>
          </w:p>
        </w:tc>
        <w:tc>
          <w:tcPr>
            <w:tcW w:w="1984" w:type="dxa"/>
          </w:tcPr>
          <w:p w:rsidR="00805A02" w:rsidRPr="00545F65" w:rsidRDefault="00805A02" w:rsidP="00A36848">
            <w:pPr>
              <w:spacing w:after="120"/>
              <w:rPr>
                <w:rFonts w:asciiTheme="minorHAnsi" w:hAnsiTheme="minorHAnsi"/>
              </w:rPr>
            </w:pPr>
          </w:p>
        </w:tc>
      </w:tr>
    </w:tbl>
    <w:p w:rsidR="00805A02" w:rsidRPr="00545F65" w:rsidRDefault="00805A02" w:rsidP="001C7411">
      <w:pPr>
        <w:spacing w:after="0" w:line="240" w:lineRule="auto"/>
        <w:rPr>
          <w:rFonts w:asciiTheme="minorHAnsi" w:hAnsiTheme="minorHAnsi"/>
        </w:rPr>
      </w:pPr>
    </w:p>
    <w:p w:rsidR="00EF2FD6" w:rsidRPr="00545F65" w:rsidRDefault="00EF2FD6" w:rsidP="00305D9D">
      <w:pPr>
        <w:tabs>
          <w:tab w:val="center" w:pos="8647"/>
        </w:tabs>
        <w:spacing w:before="120" w:after="120" w:line="240" w:lineRule="auto"/>
        <w:rPr>
          <w:rFonts w:asciiTheme="minorHAnsi" w:hAnsiTheme="minorHAnsi"/>
          <w:b/>
        </w:rPr>
      </w:pPr>
      <w:r w:rsidRPr="00545F65">
        <w:rPr>
          <w:rFonts w:asciiTheme="minorHAnsi" w:hAnsiTheme="minorHAnsi"/>
          <w:b/>
        </w:rPr>
        <w:t>Jointly awarded qualifications (</w:t>
      </w:r>
      <w:r w:rsidR="00E70FC8" w:rsidRPr="00545F65">
        <w:rPr>
          <w:rFonts w:asciiTheme="minorHAnsi" w:hAnsiTheme="minorHAnsi"/>
          <w:b/>
        </w:rPr>
        <w:t xml:space="preserve">see </w:t>
      </w:r>
      <w:r w:rsidR="00FE1754">
        <w:rPr>
          <w:rFonts w:asciiTheme="minorHAnsi" w:hAnsiTheme="minorHAnsi"/>
          <w:b/>
        </w:rPr>
        <w:t xml:space="preserve">Section </w:t>
      </w:r>
      <w:r w:rsidRPr="00545F65">
        <w:rPr>
          <w:rFonts w:asciiTheme="minorHAnsi" w:hAnsiTheme="minorHAnsi"/>
          <w:b/>
        </w:rPr>
        <w:t>17.3</w:t>
      </w:r>
      <w:r w:rsidR="00305D9D">
        <w:rPr>
          <w:rFonts w:asciiTheme="minorHAnsi" w:hAnsiTheme="minorHAnsi"/>
          <w:b/>
        </w:rPr>
        <w:t xml:space="preserve"> </w:t>
      </w:r>
      <w:r w:rsidR="00305D9D" w:rsidRPr="00305D9D">
        <w:rPr>
          <w:rFonts w:asciiTheme="minorHAnsi" w:hAnsiTheme="minorHAnsi"/>
          <w:b/>
        </w:rPr>
        <w:t>CUAP Handbook</w:t>
      </w:r>
      <w:r w:rsidRPr="00545F65">
        <w:rPr>
          <w:rFonts w:asciiTheme="minorHAnsi" w:hAnsiTheme="minorHAnsi"/>
          <w:b/>
        </w:rPr>
        <w:t>)</w:t>
      </w:r>
      <w:r w:rsidR="000313C7" w:rsidRPr="00545F65">
        <w:rPr>
          <w:rFonts w:asciiTheme="minorHAnsi" w:hAnsiTheme="minorHAnsi"/>
          <w:b/>
        </w:rPr>
        <w:tab/>
        <w:t>Reference(s)</w:t>
      </w:r>
    </w:p>
    <w:tbl>
      <w:tblPr>
        <w:tblStyle w:val="TableGrid"/>
        <w:tblW w:w="9747" w:type="dxa"/>
        <w:tblLayout w:type="fixed"/>
        <w:tblLook w:val="04A0" w:firstRow="1" w:lastRow="0" w:firstColumn="1" w:lastColumn="0" w:noHBand="0" w:noVBand="1"/>
      </w:tblPr>
      <w:tblGrid>
        <w:gridCol w:w="936"/>
        <w:gridCol w:w="6827"/>
        <w:gridCol w:w="1984"/>
      </w:tblGrid>
      <w:tr w:rsidR="00BE4EA4" w:rsidRPr="00545F65" w:rsidTr="001C7411">
        <w:tc>
          <w:tcPr>
            <w:tcW w:w="936" w:type="dxa"/>
            <w:shd w:val="clear" w:color="auto" w:fill="auto"/>
          </w:tcPr>
          <w:p w:rsidR="00BE4EA4" w:rsidRPr="00545F65" w:rsidRDefault="00BE4EA4" w:rsidP="00BF53C1">
            <w:pPr>
              <w:spacing w:after="120"/>
              <w:rPr>
                <w:rFonts w:asciiTheme="minorHAnsi" w:hAnsiTheme="minorHAnsi"/>
              </w:rPr>
            </w:pPr>
            <w:r w:rsidRPr="00545F65">
              <w:rPr>
                <w:rFonts w:asciiTheme="minorHAnsi" w:hAnsiTheme="minorHAnsi"/>
              </w:rPr>
              <w:t>17.3.1</w:t>
            </w:r>
          </w:p>
        </w:tc>
        <w:tc>
          <w:tcPr>
            <w:tcW w:w="6827" w:type="dxa"/>
            <w:shd w:val="clear" w:color="auto" w:fill="auto"/>
          </w:tcPr>
          <w:p w:rsidR="00BE4EA4" w:rsidRPr="00545F65" w:rsidRDefault="00BE4EA4" w:rsidP="00EC460D">
            <w:pPr>
              <w:spacing w:after="120"/>
              <w:rPr>
                <w:rFonts w:asciiTheme="minorHAnsi" w:hAnsiTheme="minorHAnsi"/>
              </w:rPr>
            </w:pPr>
            <w:r w:rsidRPr="00545F65">
              <w:rPr>
                <w:rFonts w:asciiTheme="minorHAnsi" w:hAnsiTheme="minorHAnsi"/>
              </w:rPr>
              <w:t xml:space="preserve">Statement on the standing of the overseas institution(s) </w:t>
            </w:r>
          </w:p>
        </w:tc>
        <w:tc>
          <w:tcPr>
            <w:tcW w:w="1984" w:type="dxa"/>
            <w:shd w:val="clear" w:color="auto" w:fill="auto"/>
          </w:tcPr>
          <w:p w:rsidR="00BE4EA4" w:rsidRPr="00545F65" w:rsidRDefault="000313C7" w:rsidP="000313C7">
            <w:pPr>
              <w:spacing w:after="120"/>
              <w:rPr>
                <w:rFonts w:asciiTheme="minorHAnsi" w:hAnsiTheme="minorHAnsi"/>
                <w:b/>
              </w:rPr>
            </w:pPr>
            <w:r w:rsidRPr="00545F65">
              <w:rPr>
                <w:rFonts w:asciiTheme="minorHAnsi" w:hAnsiTheme="minorHAnsi"/>
              </w:rPr>
              <w:t>e.g. Agreement Clause 7; Proposal p.13</w:t>
            </w:r>
          </w:p>
        </w:tc>
      </w:tr>
      <w:tr w:rsidR="00BE4EA4" w:rsidRPr="00545F65" w:rsidTr="001C7411">
        <w:tc>
          <w:tcPr>
            <w:tcW w:w="936" w:type="dxa"/>
            <w:shd w:val="clear" w:color="auto" w:fill="auto"/>
          </w:tcPr>
          <w:p w:rsidR="00BE4EA4" w:rsidRPr="00545F65" w:rsidRDefault="00BE4EA4" w:rsidP="00EC460D">
            <w:pPr>
              <w:spacing w:after="120"/>
              <w:rPr>
                <w:rFonts w:asciiTheme="minorHAnsi" w:hAnsiTheme="minorHAnsi"/>
              </w:rPr>
            </w:pPr>
          </w:p>
        </w:tc>
        <w:tc>
          <w:tcPr>
            <w:tcW w:w="6827" w:type="dxa"/>
            <w:shd w:val="clear" w:color="auto" w:fill="auto"/>
          </w:tcPr>
          <w:p w:rsidR="00BE4EA4" w:rsidRPr="00545F65" w:rsidRDefault="00BE4EA4" w:rsidP="000313C7">
            <w:pPr>
              <w:pStyle w:val="ListParagraph"/>
              <w:numPr>
                <w:ilvl w:val="0"/>
                <w:numId w:val="20"/>
              </w:numPr>
              <w:tabs>
                <w:tab w:val="left" w:pos="482"/>
              </w:tabs>
              <w:spacing w:after="120"/>
              <w:ind w:left="482" w:hanging="284"/>
              <w:rPr>
                <w:rFonts w:asciiTheme="minorHAnsi" w:hAnsiTheme="minorHAnsi"/>
              </w:rPr>
            </w:pPr>
            <w:r w:rsidRPr="00545F65">
              <w:rPr>
                <w:rFonts w:asciiTheme="minorHAnsi" w:hAnsiTheme="minorHAnsi"/>
              </w:rPr>
              <w:t xml:space="preserve">And sufficient information that the overseas institution meets the quality and programme management requirements essentially equivalent to an NZ university. </w:t>
            </w:r>
          </w:p>
        </w:tc>
        <w:tc>
          <w:tcPr>
            <w:tcW w:w="1984" w:type="dxa"/>
            <w:shd w:val="clear" w:color="auto" w:fill="auto"/>
          </w:tcPr>
          <w:p w:rsidR="00BE4EA4" w:rsidRPr="00545F65" w:rsidRDefault="00BE4EA4" w:rsidP="000313C7">
            <w:pPr>
              <w:spacing w:after="120"/>
              <w:rPr>
                <w:rFonts w:asciiTheme="minorHAnsi" w:hAnsiTheme="minorHAnsi"/>
              </w:rPr>
            </w:pPr>
          </w:p>
        </w:tc>
      </w:tr>
      <w:tr w:rsidR="00BE4EA4" w:rsidRPr="00545F65" w:rsidTr="001C7411">
        <w:tc>
          <w:tcPr>
            <w:tcW w:w="936" w:type="dxa"/>
            <w:shd w:val="clear" w:color="auto" w:fill="auto"/>
          </w:tcPr>
          <w:p w:rsidR="00BE4EA4" w:rsidRPr="00545F65" w:rsidRDefault="00BE4EA4" w:rsidP="00BF53C1">
            <w:pPr>
              <w:spacing w:after="120"/>
              <w:rPr>
                <w:rFonts w:asciiTheme="minorHAnsi" w:hAnsiTheme="minorHAnsi"/>
              </w:rPr>
            </w:pPr>
            <w:r w:rsidRPr="00545F65">
              <w:rPr>
                <w:rFonts w:asciiTheme="minorHAnsi" w:hAnsiTheme="minorHAnsi"/>
              </w:rPr>
              <w:t>17.3.2</w:t>
            </w:r>
          </w:p>
        </w:tc>
        <w:tc>
          <w:tcPr>
            <w:tcW w:w="6827" w:type="dxa"/>
            <w:shd w:val="clear" w:color="auto" w:fill="auto"/>
          </w:tcPr>
          <w:p w:rsidR="00BE4EA4" w:rsidRPr="00545F65" w:rsidRDefault="00BE4EA4" w:rsidP="00EC460D">
            <w:pPr>
              <w:spacing w:after="120"/>
              <w:rPr>
                <w:rFonts w:asciiTheme="minorHAnsi" w:hAnsiTheme="minorHAnsi"/>
              </w:rPr>
            </w:pPr>
            <w:r w:rsidRPr="00545F65">
              <w:rPr>
                <w:rFonts w:asciiTheme="minorHAnsi" w:hAnsiTheme="minorHAnsi"/>
              </w:rPr>
              <w:t xml:space="preserve">Statement of formal agreement between NZ university and Overseas institution(s) </w:t>
            </w:r>
          </w:p>
        </w:tc>
        <w:tc>
          <w:tcPr>
            <w:tcW w:w="1984" w:type="dxa"/>
            <w:shd w:val="clear" w:color="auto" w:fill="auto"/>
          </w:tcPr>
          <w:p w:rsidR="00BE4EA4" w:rsidRPr="00545F65" w:rsidRDefault="00BE4EA4" w:rsidP="000313C7">
            <w:pPr>
              <w:spacing w:after="120"/>
              <w:rPr>
                <w:rFonts w:asciiTheme="minorHAnsi" w:hAnsiTheme="minorHAnsi"/>
                <w:b/>
              </w:rPr>
            </w:pPr>
          </w:p>
        </w:tc>
      </w:tr>
      <w:tr w:rsidR="00BE4EA4" w:rsidRPr="00545F65" w:rsidTr="001C7411">
        <w:tc>
          <w:tcPr>
            <w:tcW w:w="936" w:type="dxa"/>
            <w:shd w:val="clear" w:color="auto" w:fill="auto"/>
          </w:tcPr>
          <w:p w:rsidR="00BE4EA4" w:rsidRPr="00545F65" w:rsidRDefault="00BE4EA4" w:rsidP="00EC460D">
            <w:pPr>
              <w:spacing w:after="120"/>
              <w:rPr>
                <w:rFonts w:asciiTheme="minorHAnsi" w:hAnsiTheme="minorHAnsi"/>
              </w:rPr>
            </w:pPr>
          </w:p>
        </w:tc>
        <w:tc>
          <w:tcPr>
            <w:tcW w:w="6827" w:type="dxa"/>
            <w:shd w:val="clear" w:color="auto" w:fill="auto"/>
          </w:tcPr>
          <w:p w:rsidR="00BE4EA4" w:rsidRPr="00545F65" w:rsidRDefault="00BE4EA4" w:rsidP="000313C7">
            <w:pPr>
              <w:pStyle w:val="ListParagraph"/>
              <w:numPr>
                <w:ilvl w:val="0"/>
                <w:numId w:val="20"/>
              </w:numPr>
              <w:tabs>
                <w:tab w:val="left" w:pos="482"/>
              </w:tabs>
              <w:spacing w:after="120"/>
              <w:ind w:left="482" w:hanging="284"/>
              <w:rPr>
                <w:rFonts w:asciiTheme="minorHAnsi" w:hAnsiTheme="minorHAnsi"/>
              </w:rPr>
            </w:pPr>
            <w:r w:rsidRPr="00545F65">
              <w:rPr>
                <w:rFonts w:asciiTheme="minorHAnsi" w:hAnsiTheme="minorHAnsi"/>
              </w:rPr>
              <w:t>Including a detailed outline of processes for the management of qualification and students</w:t>
            </w:r>
          </w:p>
        </w:tc>
        <w:tc>
          <w:tcPr>
            <w:tcW w:w="1984" w:type="dxa"/>
            <w:shd w:val="clear" w:color="auto" w:fill="auto"/>
          </w:tcPr>
          <w:p w:rsidR="00BE4EA4" w:rsidRPr="00545F65" w:rsidRDefault="00BE4EA4" w:rsidP="000313C7">
            <w:pPr>
              <w:spacing w:after="120"/>
              <w:rPr>
                <w:rFonts w:asciiTheme="minorHAnsi" w:hAnsiTheme="minorHAnsi"/>
                <w:i/>
              </w:rPr>
            </w:pPr>
          </w:p>
        </w:tc>
      </w:tr>
      <w:tr w:rsidR="00BE4EA4" w:rsidRPr="00545F65" w:rsidTr="001C7411">
        <w:tc>
          <w:tcPr>
            <w:tcW w:w="936" w:type="dxa"/>
            <w:shd w:val="clear" w:color="auto" w:fill="auto"/>
          </w:tcPr>
          <w:p w:rsidR="00BE4EA4" w:rsidRPr="00545F65" w:rsidRDefault="00BE4EA4" w:rsidP="00EC460D">
            <w:pPr>
              <w:spacing w:after="120"/>
              <w:rPr>
                <w:rFonts w:asciiTheme="minorHAnsi" w:hAnsiTheme="minorHAnsi"/>
              </w:rPr>
            </w:pPr>
          </w:p>
        </w:tc>
        <w:tc>
          <w:tcPr>
            <w:tcW w:w="6827" w:type="dxa"/>
            <w:shd w:val="clear" w:color="auto" w:fill="auto"/>
          </w:tcPr>
          <w:p w:rsidR="00BE4EA4" w:rsidRPr="00545F65" w:rsidRDefault="00BE4EA4" w:rsidP="000313C7">
            <w:pPr>
              <w:pStyle w:val="ListParagraph"/>
              <w:numPr>
                <w:ilvl w:val="0"/>
                <w:numId w:val="20"/>
              </w:numPr>
              <w:tabs>
                <w:tab w:val="left" w:pos="482"/>
              </w:tabs>
              <w:spacing w:after="120"/>
              <w:ind w:left="482" w:hanging="284"/>
              <w:rPr>
                <w:rFonts w:asciiTheme="minorHAnsi" w:hAnsiTheme="minorHAnsi"/>
              </w:rPr>
            </w:pPr>
            <w:r w:rsidRPr="00545F65">
              <w:rPr>
                <w:rFonts w:asciiTheme="minorHAnsi" w:hAnsiTheme="minorHAnsi"/>
              </w:rPr>
              <w:t>Including provision for management of students if arrangement ceases.</w:t>
            </w:r>
          </w:p>
        </w:tc>
        <w:tc>
          <w:tcPr>
            <w:tcW w:w="1984" w:type="dxa"/>
            <w:shd w:val="clear" w:color="auto" w:fill="auto"/>
          </w:tcPr>
          <w:p w:rsidR="00BE4EA4" w:rsidRPr="00545F65" w:rsidRDefault="00BE4EA4" w:rsidP="000313C7">
            <w:pPr>
              <w:spacing w:after="120"/>
              <w:rPr>
                <w:rFonts w:asciiTheme="minorHAnsi" w:hAnsiTheme="minorHAnsi"/>
                <w:b/>
              </w:rPr>
            </w:pPr>
          </w:p>
        </w:tc>
      </w:tr>
      <w:tr w:rsidR="00BE4EA4" w:rsidRPr="00545F65" w:rsidTr="001C7411">
        <w:tc>
          <w:tcPr>
            <w:tcW w:w="936" w:type="dxa"/>
            <w:shd w:val="clear" w:color="auto" w:fill="auto"/>
          </w:tcPr>
          <w:p w:rsidR="00BE4EA4" w:rsidRPr="00545F65" w:rsidRDefault="00BE4EA4" w:rsidP="00BF53C1">
            <w:pPr>
              <w:spacing w:after="120"/>
              <w:rPr>
                <w:rFonts w:asciiTheme="minorHAnsi" w:hAnsiTheme="minorHAnsi"/>
              </w:rPr>
            </w:pPr>
            <w:r w:rsidRPr="00545F65">
              <w:rPr>
                <w:rFonts w:asciiTheme="minorHAnsi" w:hAnsiTheme="minorHAnsi"/>
              </w:rPr>
              <w:t>17.3.3</w:t>
            </w:r>
          </w:p>
        </w:tc>
        <w:tc>
          <w:tcPr>
            <w:tcW w:w="6827" w:type="dxa"/>
            <w:shd w:val="clear" w:color="auto" w:fill="auto"/>
          </w:tcPr>
          <w:p w:rsidR="00BE4EA4" w:rsidRPr="00545F65" w:rsidRDefault="00BE4EA4" w:rsidP="00EC460D">
            <w:pPr>
              <w:spacing w:after="120"/>
              <w:rPr>
                <w:rFonts w:asciiTheme="minorHAnsi" w:hAnsiTheme="minorHAnsi"/>
              </w:rPr>
            </w:pPr>
            <w:r w:rsidRPr="00545F65">
              <w:rPr>
                <w:rFonts w:asciiTheme="minorHAnsi" w:hAnsiTheme="minorHAnsi"/>
              </w:rPr>
              <w:t xml:space="preserve">Details of overseas institution’s qualification approval and accreditation with respect to the qualification. </w:t>
            </w:r>
          </w:p>
        </w:tc>
        <w:tc>
          <w:tcPr>
            <w:tcW w:w="1984" w:type="dxa"/>
            <w:shd w:val="clear" w:color="auto" w:fill="auto"/>
          </w:tcPr>
          <w:p w:rsidR="00BE4EA4" w:rsidRPr="00545F65" w:rsidRDefault="00BE4EA4" w:rsidP="000313C7">
            <w:pPr>
              <w:spacing w:after="120"/>
              <w:rPr>
                <w:rFonts w:asciiTheme="minorHAnsi" w:hAnsiTheme="minorHAnsi"/>
                <w:i/>
              </w:rPr>
            </w:pPr>
          </w:p>
        </w:tc>
      </w:tr>
      <w:tr w:rsidR="00BE4EA4" w:rsidRPr="00545F65" w:rsidTr="001C7411">
        <w:tc>
          <w:tcPr>
            <w:tcW w:w="936" w:type="dxa"/>
            <w:shd w:val="clear" w:color="auto" w:fill="auto"/>
          </w:tcPr>
          <w:p w:rsidR="00BE4EA4" w:rsidRPr="00545F65" w:rsidRDefault="00BE4EA4" w:rsidP="00BF53C1">
            <w:pPr>
              <w:spacing w:after="120"/>
              <w:rPr>
                <w:rFonts w:asciiTheme="minorHAnsi" w:hAnsiTheme="minorHAnsi"/>
              </w:rPr>
            </w:pPr>
            <w:r w:rsidRPr="00545F65">
              <w:rPr>
                <w:rFonts w:asciiTheme="minorHAnsi" w:hAnsiTheme="minorHAnsi"/>
              </w:rPr>
              <w:t>17.3.4</w:t>
            </w:r>
          </w:p>
        </w:tc>
        <w:tc>
          <w:tcPr>
            <w:tcW w:w="6827" w:type="dxa"/>
            <w:shd w:val="clear" w:color="auto" w:fill="auto"/>
          </w:tcPr>
          <w:p w:rsidR="00BE4EA4" w:rsidRPr="00545F65" w:rsidRDefault="00BE4EA4" w:rsidP="00EC460D">
            <w:pPr>
              <w:spacing w:after="120"/>
              <w:rPr>
                <w:rFonts w:asciiTheme="minorHAnsi" w:hAnsiTheme="minorHAnsi"/>
              </w:rPr>
            </w:pPr>
            <w:r w:rsidRPr="00545F65">
              <w:rPr>
                <w:rFonts w:asciiTheme="minorHAnsi" w:hAnsiTheme="minorHAnsi"/>
              </w:rPr>
              <w:t xml:space="preserve">A proposal (Sections A and B) outlining relevant contributions of the institutions to the qualification. </w:t>
            </w:r>
          </w:p>
        </w:tc>
        <w:tc>
          <w:tcPr>
            <w:tcW w:w="1984" w:type="dxa"/>
            <w:shd w:val="clear" w:color="auto" w:fill="auto"/>
          </w:tcPr>
          <w:p w:rsidR="00BE4EA4" w:rsidRPr="00545F65" w:rsidRDefault="00BE4EA4" w:rsidP="000313C7">
            <w:pPr>
              <w:spacing w:after="120"/>
              <w:rPr>
                <w:rFonts w:asciiTheme="minorHAnsi" w:hAnsiTheme="minorHAnsi"/>
                <w:i/>
              </w:rPr>
            </w:pPr>
          </w:p>
        </w:tc>
      </w:tr>
      <w:tr w:rsidR="00BE4EA4" w:rsidRPr="00545F65" w:rsidTr="001C7411">
        <w:tc>
          <w:tcPr>
            <w:tcW w:w="936" w:type="dxa"/>
            <w:shd w:val="clear" w:color="auto" w:fill="auto"/>
          </w:tcPr>
          <w:p w:rsidR="00BE4EA4" w:rsidRPr="00545F65" w:rsidRDefault="00BE4EA4" w:rsidP="00BF53C1">
            <w:pPr>
              <w:spacing w:after="120"/>
              <w:rPr>
                <w:rFonts w:asciiTheme="minorHAnsi" w:hAnsiTheme="minorHAnsi"/>
              </w:rPr>
            </w:pPr>
            <w:r w:rsidRPr="00545F65">
              <w:rPr>
                <w:rFonts w:asciiTheme="minorHAnsi" w:hAnsiTheme="minorHAnsi"/>
              </w:rPr>
              <w:t>17.3.5</w:t>
            </w:r>
          </w:p>
        </w:tc>
        <w:tc>
          <w:tcPr>
            <w:tcW w:w="6827" w:type="dxa"/>
            <w:shd w:val="clear" w:color="auto" w:fill="auto"/>
          </w:tcPr>
          <w:p w:rsidR="00BE4EA4" w:rsidRPr="00545F65" w:rsidRDefault="00BE4EA4" w:rsidP="00BE4EA4">
            <w:pPr>
              <w:spacing w:after="120"/>
              <w:rPr>
                <w:rFonts w:asciiTheme="minorHAnsi" w:hAnsiTheme="minorHAnsi"/>
              </w:rPr>
            </w:pPr>
            <w:r w:rsidRPr="00545F65">
              <w:rPr>
                <w:rFonts w:asciiTheme="minorHAnsi" w:hAnsiTheme="minorHAnsi"/>
              </w:rPr>
              <w:t xml:space="preserve">Detailed statement of operational performance and effectiveness of the </w:t>
            </w:r>
            <w:r w:rsidRPr="00545F65">
              <w:rPr>
                <w:rFonts w:asciiTheme="minorHAnsi" w:hAnsiTheme="minorHAnsi"/>
              </w:rPr>
              <w:lastRenderedPageBreak/>
              <w:t xml:space="preserve">qualification as part of the GYR </w:t>
            </w:r>
          </w:p>
        </w:tc>
        <w:tc>
          <w:tcPr>
            <w:tcW w:w="1984" w:type="dxa"/>
            <w:shd w:val="clear" w:color="auto" w:fill="auto"/>
          </w:tcPr>
          <w:p w:rsidR="00BE4EA4" w:rsidRPr="00545F65" w:rsidRDefault="00BE4EA4" w:rsidP="000313C7">
            <w:pPr>
              <w:spacing w:after="120"/>
              <w:rPr>
                <w:rFonts w:asciiTheme="minorHAnsi" w:hAnsiTheme="minorHAnsi"/>
                <w:i/>
              </w:rPr>
            </w:pPr>
          </w:p>
        </w:tc>
      </w:tr>
    </w:tbl>
    <w:p w:rsidR="00805A02" w:rsidRPr="00545F65" w:rsidRDefault="00E70FC8" w:rsidP="001C7411">
      <w:pPr>
        <w:spacing w:before="120" w:after="0" w:line="240" w:lineRule="auto"/>
        <w:rPr>
          <w:rFonts w:asciiTheme="minorHAnsi" w:hAnsiTheme="minorHAnsi"/>
        </w:rPr>
      </w:pPr>
      <w:r w:rsidRPr="00545F65">
        <w:rPr>
          <w:rFonts w:asciiTheme="minorHAnsi" w:hAnsiTheme="minorHAnsi"/>
        </w:rPr>
        <w:lastRenderedPageBreak/>
        <w:t>Note:</w:t>
      </w:r>
      <w:r w:rsidR="001C7411" w:rsidRPr="00545F65">
        <w:rPr>
          <w:rFonts w:asciiTheme="minorHAnsi" w:hAnsiTheme="minorHAnsi"/>
        </w:rPr>
        <w:t xml:space="preserve"> </w:t>
      </w:r>
      <w:r w:rsidR="00805A02" w:rsidRPr="00545F65">
        <w:rPr>
          <w:rFonts w:asciiTheme="minorHAnsi" w:hAnsiTheme="minorHAnsi"/>
        </w:rPr>
        <w:t xml:space="preserve">CUAP may </w:t>
      </w:r>
      <w:r w:rsidR="00EF2FD6" w:rsidRPr="00545F65">
        <w:rPr>
          <w:rFonts w:asciiTheme="minorHAnsi" w:hAnsiTheme="minorHAnsi"/>
        </w:rPr>
        <w:t>put the qualification to</w:t>
      </w:r>
      <w:r w:rsidR="00805A02" w:rsidRPr="00545F65">
        <w:rPr>
          <w:rFonts w:asciiTheme="minorHAnsi" w:hAnsiTheme="minorHAnsi"/>
        </w:rPr>
        <w:t xml:space="preserve"> Review Panel process</w:t>
      </w:r>
      <w:r w:rsidR="007B0826" w:rsidRPr="00545F65">
        <w:rPr>
          <w:rFonts w:asciiTheme="minorHAnsi" w:hAnsiTheme="minorHAnsi"/>
        </w:rPr>
        <w:t xml:space="preserve">. </w:t>
      </w:r>
      <w:r w:rsidR="001C7411" w:rsidRPr="00545F65">
        <w:rPr>
          <w:rFonts w:asciiTheme="minorHAnsi" w:hAnsiTheme="minorHAnsi"/>
        </w:rPr>
        <w:t xml:space="preserve"> </w:t>
      </w:r>
      <w:r w:rsidR="00805A02" w:rsidRPr="00545F65">
        <w:rPr>
          <w:rFonts w:asciiTheme="minorHAnsi" w:hAnsiTheme="minorHAnsi"/>
        </w:rPr>
        <w:t>CUAP may require further and ongoing monitoring of the arrangement with an overseas institution, depending upon issues raised at the time of programme approval or as a result of a Graduating Year Review.</w:t>
      </w:r>
    </w:p>
    <w:p w:rsidR="00805A02" w:rsidRPr="00545F65" w:rsidRDefault="00805A02" w:rsidP="007B0826">
      <w:pPr>
        <w:pStyle w:val="Heading2"/>
        <w:numPr>
          <w:ilvl w:val="0"/>
          <w:numId w:val="0"/>
        </w:numPr>
        <w:spacing w:before="240" w:after="120" w:line="240" w:lineRule="auto"/>
        <w:rPr>
          <w:rFonts w:asciiTheme="minorHAnsi" w:hAnsiTheme="minorHAnsi"/>
          <w:sz w:val="22"/>
          <w:szCs w:val="22"/>
        </w:rPr>
      </w:pPr>
      <w:bookmarkStart w:id="3" w:name="_Toc354749591"/>
      <w:r w:rsidRPr="00545F65">
        <w:rPr>
          <w:rFonts w:asciiTheme="minorHAnsi" w:hAnsiTheme="minorHAnsi"/>
          <w:sz w:val="22"/>
          <w:szCs w:val="22"/>
        </w:rPr>
        <w:t>Agreement with the overseas institution</w:t>
      </w:r>
      <w:r w:rsidR="007B0826" w:rsidRPr="00545F65">
        <w:rPr>
          <w:rFonts w:asciiTheme="minorHAnsi" w:hAnsiTheme="minorHAnsi"/>
          <w:sz w:val="22"/>
          <w:szCs w:val="22"/>
        </w:rPr>
        <w:t>(s)</w:t>
      </w:r>
      <w:bookmarkEnd w:id="3"/>
    </w:p>
    <w:p w:rsidR="00EC2FA4" w:rsidRPr="00545F65" w:rsidRDefault="00805A02" w:rsidP="00805A02">
      <w:pPr>
        <w:spacing w:after="120" w:line="240" w:lineRule="auto"/>
        <w:rPr>
          <w:rFonts w:asciiTheme="minorHAnsi" w:hAnsiTheme="minorHAnsi"/>
        </w:rPr>
      </w:pPr>
      <w:r w:rsidRPr="00545F65">
        <w:rPr>
          <w:rFonts w:asciiTheme="minorHAnsi" w:hAnsiTheme="minorHAnsi"/>
        </w:rPr>
        <w:t>An Agreement should be between institutions, not between individual departments or staff members.</w:t>
      </w:r>
    </w:p>
    <w:tbl>
      <w:tblPr>
        <w:tblStyle w:val="TableGrid"/>
        <w:tblW w:w="9747" w:type="dxa"/>
        <w:tblLook w:val="04A0" w:firstRow="1" w:lastRow="0" w:firstColumn="1" w:lastColumn="0" w:noHBand="0" w:noVBand="1"/>
      </w:tblPr>
      <w:tblGrid>
        <w:gridCol w:w="9747"/>
      </w:tblGrid>
      <w:tr w:rsidR="00EC2FA4" w:rsidRPr="00545F65" w:rsidTr="007E280D">
        <w:tc>
          <w:tcPr>
            <w:tcW w:w="9747" w:type="dxa"/>
            <w:shd w:val="clear" w:color="auto" w:fill="auto"/>
          </w:tcPr>
          <w:p w:rsidR="007E280D" w:rsidRPr="00545F65" w:rsidRDefault="007E280D" w:rsidP="007E280D">
            <w:pPr>
              <w:tabs>
                <w:tab w:val="left" w:pos="7938"/>
              </w:tabs>
              <w:spacing w:after="120"/>
              <w:ind w:right="-108"/>
              <w:rPr>
                <w:rFonts w:asciiTheme="minorHAnsi" w:hAnsiTheme="minorHAnsi"/>
                <w:i/>
              </w:rPr>
            </w:pPr>
          </w:p>
          <w:p w:rsidR="007E280D" w:rsidRPr="00545F65" w:rsidRDefault="007E280D" w:rsidP="007E280D">
            <w:pPr>
              <w:tabs>
                <w:tab w:val="left" w:pos="7938"/>
              </w:tabs>
              <w:spacing w:after="120"/>
              <w:ind w:right="-108"/>
              <w:rPr>
                <w:rFonts w:asciiTheme="minorHAnsi" w:hAnsiTheme="minorHAnsi"/>
                <w:i/>
              </w:rPr>
            </w:pPr>
            <w:r w:rsidRPr="00545F65">
              <w:rPr>
                <w:rFonts w:asciiTheme="minorHAnsi" w:hAnsiTheme="minorHAnsi"/>
                <w:i/>
              </w:rPr>
              <w:t xml:space="preserve">The agreement is between </w:t>
            </w:r>
            <w:r w:rsidRPr="00545F65">
              <w:rPr>
                <w:rFonts w:asciiTheme="minorHAnsi" w:hAnsiTheme="minorHAnsi"/>
                <w:b/>
                <w:i/>
              </w:rPr>
              <w:t>Massey University</w:t>
            </w:r>
            <w:r w:rsidRPr="00545F65">
              <w:rPr>
                <w:rFonts w:asciiTheme="minorHAnsi" w:hAnsiTheme="minorHAnsi"/>
                <w:i/>
              </w:rPr>
              <w:t xml:space="preserve"> and the </w:t>
            </w:r>
            <w:r w:rsidRPr="00545F65">
              <w:rPr>
                <w:rFonts w:asciiTheme="minorHAnsi" w:hAnsiTheme="minorHAnsi"/>
                <w:b/>
                <w:i/>
              </w:rPr>
              <w:t xml:space="preserve">&lt;Institution name(s)&gt;. </w:t>
            </w:r>
            <w:r w:rsidRPr="00545F65">
              <w:rPr>
                <w:rFonts w:asciiTheme="minorHAnsi" w:hAnsiTheme="minorHAnsi"/>
                <w:i/>
              </w:rPr>
              <w:t>This agreement is consistent with the CUAP principles of approval (identified below).</w:t>
            </w:r>
          </w:p>
          <w:p w:rsidR="00EC2FA4" w:rsidRPr="00545F65" w:rsidRDefault="007E280D" w:rsidP="007E280D">
            <w:pPr>
              <w:tabs>
                <w:tab w:val="left" w:pos="7938"/>
              </w:tabs>
              <w:spacing w:after="120"/>
              <w:ind w:right="-108"/>
              <w:rPr>
                <w:rFonts w:asciiTheme="minorHAnsi" w:hAnsiTheme="minorHAnsi"/>
                <w:i/>
              </w:rPr>
            </w:pPr>
            <w:r w:rsidRPr="00545F65">
              <w:rPr>
                <w:rFonts w:asciiTheme="minorHAnsi" w:hAnsiTheme="minorHAnsi"/>
                <w:i/>
              </w:rPr>
              <w:t>Details of the agreed arrangements are included in the submitted proposal and appended agreement.</w:t>
            </w:r>
          </w:p>
          <w:p w:rsidR="007E280D" w:rsidRPr="00545F65" w:rsidRDefault="007E280D" w:rsidP="007E280D">
            <w:pPr>
              <w:tabs>
                <w:tab w:val="left" w:pos="7938"/>
              </w:tabs>
              <w:spacing w:after="120"/>
              <w:ind w:right="-108"/>
              <w:rPr>
                <w:rFonts w:asciiTheme="minorHAnsi" w:hAnsiTheme="minorHAnsi"/>
                <w:i/>
              </w:rPr>
            </w:pPr>
          </w:p>
        </w:tc>
      </w:tr>
    </w:tbl>
    <w:p w:rsidR="00805A02" w:rsidRPr="00545F65" w:rsidRDefault="007B0826" w:rsidP="00805A02">
      <w:pPr>
        <w:pStyle w:val="Heading3"/>
        <w:rPr>
          <w:rFonts w:asciiTheme="minorHAnsi" w:hAnsiTheme="minorHAnsi"/>
          <w:sz w:val="22"/>
        </w:rPr>
      </w:pPr>
      <w:r w:rsidRPr="00545F65">
        <w:rPr>
          <w:rFonts w:asciiTheme="minorHAnsi" w:hAnsiTheme="minorHAnsi"/>
          <w:sz w:val="22"/>
        </w:rPr>
        <w:t>Principles of approval</w:t>
      </w:r>
    </w:p>
    <w:p w:rsidR="00805A02" w:rsidRPr="00545F65" w:rsidRDefault="00805A02" w:rsidP="00805A02">
      <w:pPr>
        <w:spacing w:after="120" w:line="240" w:lineRule="auto"/>
        <w:rPr>
          <w:rFonts w:asciiTheme="minorHAnsi" w:hAnsiTheme="minorHAnsi"/>
        </w:rPr>
      </w:pPr>
      <w:r w:rsidRPr="00545F65">
        <w:rPr>
          <w:rFonts w:asciiTheme="minorHAnsi" w:hAnsiTheme="minorHAnsi"/>
        </w:rPr>
        <w:t>Approval of any New Zealand programme or qualification involving contributions from an overseas provider is based on the following principles:</w:t>
      </w:r>
    </w:p>
    <w:tbl>
      <w:tblPr>
        <w:tblStyle w:val="TableGrid"/>
        <w:tblW w:w="9747" w:type="dxa"/>
        <w:tblLook w:val="04A0" w:firstRow="1" w:lastRow="0" w:firstColumn="1" w:lastColumn="0" w:noHBand="0" w:noVBand="1"/>
      </w:tblPr>
      <w:tblGrid>
        <w:gridCol w:w="9747"/>
      </w:tblGrid>
      <w:tr w:rsidR="00585DDF" w:rsidRPr="00545F65" w:rsidTr="007E280D">
        <w:tc>
          <w:tcPr>
            <w:tcW w:w="9747" w:type="dxa"/>
            <w:shd w:val="clear" w:color="auto" w:fill="auto"/>
          </w:tcPr>
          <w:p w:rsidR="00585DDF" w:rsidRPr="00545F65" w:rsidRDefault="00585DDF" w:rsidP="007B0826">
            <w:pPr>
              <w:spacing w:after="120"/>
              <w:rPr>
                <w:rFonts w:asciiTheme="minorHAnsi" w:hAnsiTheme="minorHAnsi"/>
              </w:rPr>
            </w:pPr>
            <w:r w:rsidRPr="00545F65">
              <w:rPr>
                <w:rFonts w:asciiTheme="minorHAnsi" w:hAnsiTheme="minorHAnsi"/>
              </w:rPr>
              <w:t>Relationship with the partner will not cause damage to the reputation of the individual NZ university / NZ universities as a whole.</w:t>
            </w:r>
          </w:p>
        </w:tc>
      </w:tr>
      <w:tr w:rsidR="00585DDF" w:rsidRPr="00545F65" w:rsidTr="007E280D">
        <w:tc>
          <w:tcPr>
            <w:tcW w:w="9747" w:type="dxa"/>
          </w:tcPr>
          <w:p w:rsidR="00585DDF" w:rsidRPr="00545F65" w:rsidRDefault="00585DDF" w:rsidP="007B0826">
            <w:pPr>
              <w:spacing w:after="120"/>
              <w:rPr>
                <w:rFonts w:asciiTheme="minorHAnsi" w:hAnsiTheme="minorHAnsi"/>
              </w:rPr>
            </w:pPr>
            <w:r w:rsidRPr="00545F65">
              <w:rPr>
                <w:rFonts w:asciiTheme="minorHAnsi" w:hAnsiTheme="minorHAnsi"/>
              </w:rPr>
              <w:t>Partner has experience in tertiary education, has sufficient resources and has the necessary local legal standing to offer the programme or courses.</w:t>
            </w:r>
          </w:p>
        </w:tc>
      </w:tr>
      <w:tr w:rsidR="00585DDF" w:rsidRPr="00545F65" w:rsidTr="007E280D">
        <w:tc>
          <w:tcPr>
            <w:tcW w:w="9747" w:type="dxa"/>
          </w:tcPr>
          <w:p w:rsidR="00585DDF" w:rsidRPr="00545F65" w:rsidRDefault="00585DDF" w:rsidP="007B0826">
            <w:pPr>
              <w:spacing w:after="120"/>
              <w:rPr>
                <w:rFonts w:asciiTheme="minorHAnsi" w:hAnsiTheme="minorHAnsi"/>
              </w:rPr>
            </w:pPr>
            <w:r w:rsidRPr="00545F65">
              <w:rPr>
                <w:rFonts w:asciiTheme="minorHAnsi" w:hAnsiTheme="minorHAnsi"/>
              </w:rPr>
              <w:t>Consideration is given by both parties to the national and local contexts within which the partners are working, including in particular:</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the local higher education system and the partner institutions’ positions in it</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the statutory requirements governing national and overseas recognition of awards</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any relevant professional requirements governing recognition of awards and qualifications (e.g. registration)</w:t>
            </w:r>
          </w:p>
        </w:tc>
      </w:tr>
      <w:tr w:rsidR="00585DDF" w:rsidRPr="00545F65" w:rsidTr="007E280D">
        <w:tc>
          <w:tcPr>
            <w:tcW w:w="9747" w:type="dxa"/>
            <w:shd w:val="clear" w:color="auto" w:fill="auto"/>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transfer of credit arrangements</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portability of the award or qualification</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local educational tradition and conventions, including practices relating to delivery and assessment</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local cultural relevance and acceptability of curriculum and modes of delivery</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r w:rsidRPr="00545F65">
              <w:rPr>
                <w:rFonts w:asciiTheme="minorHAnsi" w:hAnsiTheme="minorHAnsi"/>
              </w:rPr>
              <w:t>copyright and intellectual property protection</w:t>
            </w:r>
          </w:p>
        </w:tc>
      </w:tr>
      <w:tr w:rsidR="00585DDF" w:rsidRPr="00545F65" w:rsidTr="007E280D">
        <w:tc>
          <w:tcPr>
            <w:tcW w:w="9747" w:type="dxa"/>
          </w:tcPr>
          <w:p w:rsidR="00585DDF" w:rsidRPr="00545F65" w:rsidRDefault="00585DDF" w:rsidP="007B0826">
            <w:pPr>
              <w:pStyle w:val="ListParagraph"/>
              <w:numPr>
                <w:ilvl w:val="0"/>
                <w:numId w:val="11"/>
              </w:numPr>
              <w:tabs>
                <w:tab w:val="left" w:pos="426"/>
              </w:tabs>
              <w:spacing w:after="120"/>
              <w:rPr>
                <w:rFonts w:asciiTheme="minorHAnsi" w:hAnsiTheme="minorHAnsi"/>
              </w:rPr>
            </w:pPr>
            <w:proofErr w:type="gramStart"/>
            <w:r w:rsidRPr="00545F65">
              <w:rPr>
                <w:rFonts w:asciiTheme="minorHAnsi" w:hAnsiTheme="minorHAnsi"/>
              </w:rPr>
              <w:t>maintenance</w:t>
            </w:r>
            <w:proofErr w:type="gramEnd"/>
            <w:r w:rsidRPr="00545F65">
              <w:rPr>
                <w:rFonts w:asciiTheme="minorHAnsi" w:hAnsiTheme="minorHAnsi"/>
              </w:rPr>
              <w:t xml:space="preserve"> of professional and ethical standards which are consistent with those expected in New Zealand.</w:t>
            </w:r>
          </w:p>
        </w:tc>
      </w:tr>
    </w:tbl>
    <w:p w:rsidR="00545F65" w:rsidRDefault="00545F65" w:rsidP="001C7411">
      <w:pPr>
        <w:spacing w:before="120" w:after="120" w:line="240" w:lineRule="auto"/>
        <w:rPr>
          <w:rFonts w:asciiTheme="minorHAnsi" w:hAnsiTheme="minorHAnsi"/>
        </w:rPr>
      </w:pPr>
    </w:p>
    <w:p w:rsidR="00805A02" w:rsidRPr="00545F65" w:rsidRDefault="001C7411" w:rsidP="001C7411">
      <w:pPr>
        <w:spacing w:before="120" w:after="120" w:line="240" w:lineRule="auto"/>
        <w:rPr>
          <w:rFonts w:asciiTheme="minorHAnsi" w:hAnsiTheme="minorHAnsi"/>
        </w:rPr>
      </w:pPr>
      <w:r w:rsidRPr="00545F65">
        <w:rPr>
          <w:rFonts w:asciiTheme="minorHAnsi" w:hAnsiTheme="minorHAnsi"/>
        </w:rPr>
        <w:t xml:space="preserve">Note: </w:t>
      </w:r>
      <w:r w:rsidR="00805A02" w:rsidRPr="00545F65">
        <w:rPr>
          <w:rFonts w:asciiTheme="minorHAnsi" w:hAnsiTheme="minorHAnsi"/>
        </w:rPr>
        <w:t xml:space="preserve">The </w:t>
      </w:r>
      <w:r w:rsidRPr="00545F65">
        <w:rPr>
          <w:rFonts w:asciiTheme="minorHAnsi" w:hAnsiTheme="minorHAnsi"/>
        </w:rPr>
        <w:t xml:space="preserve">CUAP </w:t>
      </w:r>
      <w:r w:rsidR="00805A02" w:rsidRPr="00545F65">
        <w:rPr>
          <w:rFonts w:asciiTheme="minorHAnsi" w:hAnsiTheme="minorHAnsi"/>
        </w:rPr>
        <w:t xml:space="preserve">sub-committee may issue guidelines for the submission of existing programmes to be offered offshore.  </w:t>
      </w:r>
    </w:p>
    <w:p w:rsidR="007B0826" w:rsidRPr="00545F65" w:rsidRDefault="00805A02" w:rsidP="00805A02">
      <w:pPr>
        <w:spacing w:after="120" w:line="240" w:lineRule="auto"/>
        <w:rPr>
          <w:rFonts w:asciiTheme="minorHAnsi" w:hAnsiTheme="minorHAnsi"/>
        </w:rPr>
      </w:pPr>
      <w:r w:rsidRPr="00545F65">
        <w:rPr>
          <w:rFonts w:asciiTheme="minorHAnsi" w:hAnsiTheme="minorHAnsi"/>
        </w:rPr>
        <w:t xml:space="preserve">All proposals for programmes or awards to be offered by a New Zealand university and involving participation by an overseas partner, must satisfy normal CUAP assessment requirements. </w:t>
      </w:r>
    </w:p>
    <w:p w:rsidR="005A1A30" w:rsidRPr="00545F65" w:rsidRDefault="005A1A30" w:rsidP="005A1A30">
      <w:pPr>
        <w:spacing w:before="120" w:after="120" w:line="240" w:lineRule="auto"/>
        <w:rPr>
          <w:rFonts w:asciiTheme="minorHAnsi" w:hAnsiTheme="minorHAnsi"/>
          <w:b/>
        </w:rPr>
      </w:pPr>
    </w:p>
    <w:p w:rsidR="00545F65" w:rsidRDefault="00545F65">
      <w:pPr>
        <w:rPr>
          <w:rFonts w:asciiTheme="minorHAnsi" w:hAnsiTheme="minorHAnsi"/>
          <w:b/>
        </w:rPr>
      </w:pPr>
      <w:r>
        <w:rPr>
          <w:rFonts w:asciiTheme="minorHAnsi" w:hAnsiTheme="minorHAnsi"/>
          <w:b/>
        </w:rPr>
        <w:br w:type="page"/>
      </w:r>
    </w:p>
    <w:p w:rsidR="00737B52" w:rsidRPr="00545F65" w:rsidRDefault="00737B52" w:rsidP="005A1A30">
      <w:pPr>
        <w:spacing w:before="120" w:after="120" w:line="240" w:lineRule="auto"/>
        <w:rPr>
          <w:rFonts w:asciiTheme="minorHAnsi" w:hAnsiTheme="minorHAnsi"/>
        </w:rPr>
      </w:pPr>
      <w:r w:rsidRPr="00545F65">
        <w:rPr>
          <w:rFonts w:asciiTheme="minorHAnsi" w:hAnsiTheme="minorHAnsi"/>
          <w:b/>
        </w:rPr>
        <w:lastRenderedPageBreak/>
        <w:t>The Agreement</w:t>
      </w:r>
      <w:r w:rsidRPr="00545F65">
        <w:rPr>
          <w:rFonts w:asciiTheme="minorHAnsi" w:hAnsiTheme="minorHAnsi"/>
        </w:rPr>
        <w:t xml:space="preserve"> (</w:t>
      </w:r>
      <w:r w:rsidR="00305D9D">
        <w:rPr>
          <w:rFonts w:asciiTheme="minorHAnsi" w:hAnsiTheme="minorHAnsi"/>
        </w:rPr>
        <w:t xml:space="preserve">see </w:t>
      </w:r>
      <w:r w:rsidR="00305D9D" w:rsidRPr="00305D9D">
        <w:rPr>
          <w:rFonts w:asciiTheme="minorHAnsi" w:hAnsiTheme="minorHAnsi"/>
        </w:rPr>
        <w:t>Section</w:t>
      </w:r>
      <w:r w:rsidR="00305D9D">
        <w:rPr>
          <w:rFonts w:asciiTheme="minorHAnsi" w:hAnsiTheme="minorHAnsi"/>
          <w:b/>
        </w:rPr>
        <w:t xml:space="preserve"> </w:t>
      </w:r>
      <w:r w:rsidRPr="00545F65">
        <w:rPr>
          <w:rFonts w:asciiTheme="minorHAnsi" w:hAnsiTheme="minorHAnsi"/>
        </w:rPr>
        <w:t>17.4.3</w:t>
      </w:r>
      <w:r w:rsidR="00305D9D">
        <w:rPr>
          <w:rFonts w:asciiTheme="minorHAnsi" w:hAnsiTheme="minorHAnsi"/>
        </w:rPr>
        <w:t xml:space="preserve"> </w:t>
      </w:r>
      <w:r w:rsidR="00305D9D" w:rsidRPr="00545F65">
        <w:rPr>
          <w:rFonts w:asciiTheme="minorHAnsi" w:hAnsiTheme="minorHAnsi"/>
        </w:rPr>
        <w:t>CUAP Handbook</w:t>
      </w:r>
      <w:r w:rsidRPr="00545F65">
        <w:rPr>
          <w:rFonts w:asciiTheme="minorHAnsi" w:hAnsiTheme="minorHAnsi"/>
        </w:rPr>
        <w:t>)</w:t>
      </w:r>
    </w:p>
    <w:p w:rsidR="006D1DF6" w:rsidRPr="00545F65" w:rsidRDefault="006D1DF6" w:rsidP="006D1DF6">
      <w:pPr>
        <w:spacing w:after="120" w:line="240" w:lineRule="auto"/>
        <w:rPr>
          <w:rFonts w:asciiTheme="minorHAnsi" w:hAnsiTheme="minorHAnsi"/>
        </w:rPr>
      </w:pPr>
      <w:r w:rsidRPr="00545F65">
        <w:rPr>
          <w:rFonts w:asciiTheme="minorHAnsi" w:hAnsiTheme="minorHAnsi"/>
        </w:rPr>
        <w:t>The Agreement defines the means whereby the quality of the student experience will be assured and the academic standards of the programme maintained, and ensures that the collaborative arrangements operate smoothly in terms of clear channels of communication, accountability and authority.</w:t>
      </w:r>
    </w:p>
    <w:p w:rsidR="006D1DF6" w:rsidRPr="00545F65" w:rsidRDefault="006D1DF6" w:rsidP="006D1DF6">
      <w:pPr>
        <w:spacing w:after="120" w:line="240" w:lineRule="auto"/>
        <w:rPr>
          <w:rFonts w:asciiTheme="minorHAnsi" w:hAnsiTheme="minorHAnsi"/>
        </w:rPr>
      </w:pPr>
      <w:r w:rsidRPr="00545F65">
        <w:rPr>
          <w:rFonts w:asciiTheme="minorHAnsi" w:hAnsiTheme="minorHAnsi"/>
        </w:rPr>
        <w:t>Where a New Zealand university has academic collaboration for the same programme or qualification (or part thereof) with more than one overseas institution, whether as partners or through sub-contracting, then an Agreement must be agreed to by all partners individually.</w:t>
      </w:r>
    </w:p>
    <w:p w:rsidR="006D1DF6" w:rsidRPr="00545F65" w:rsidRDefault="006D1DF6" w:rsidP="006D1DF6">
      <w:pPr>
        <w:spacing w:after="120" w:line="240" w:lineRule="auto"/>
        <w:rPr>
          <w:rFonts w:asciiTheme="minorHAnsi" w:hAnsiTheme="minorHAnsi"/>
        </w:rPr>
      </w:pPr>
    </w:p>
    <w:tbl>
      <w:tblPr>
        <w:tblStyle w:val="TableGrid"/>
        <w:tblW w:w="0" w:type="auto"/>
        <w:tblLook w:val="04A0" w:firstRow="1" w:lastRow="0" w:firstColumn="1" w:lastColumn="0" w:noHBand="0" w:noVBand="1"/>
      </w:tblPr>
      <w:tblGrid>
        <w:gridCol w:w="7054"/>
        <w:gridCol w:w="2693"/>
      </w:tblGrid>
      <w:tr w:rsidR="00737B52" w:rsidRPr="00545F65" w:rsidTr="005A1A30">
        <w:tc>
          <w:tcPr>
            <w:tcW w:w="7054" w:type="dxa"/>
            <w:shd w:val="clear" w:color="auto" w:fill="auto"/>
          </w:tcPr>
          <w:p w:rsidR="00737B52" w:rsidRPr="00545F65" w:rsidRDefault="00737B52" w:rsidP="00EF2FD6">
            <w:pPr>
              <w:spacing w:after="120"/>
              <w:rPr>
                <w:rFonts w:asciiTheme="minorHAnsi" w:hAnsiTheme="minorHAnsi"/>
              </w:rPr>
            </w:pPr>
            <w:r w:rsidRPr="00545F65">
              <w:rPr>
                <w:rFonts w:asciiTheme="minorHAnsi" w:hAnsiTheme="minorHAnsi"/>
              </w:rPr>
              <w:t>Agreement with the overseas institution(s) submitted</w:t>
            </w:r>
          </w:p>
        </w:tc>
        <w:tc>
          <w:tcPr>
            <w:tcW w:w="2693" w:type="dxa"/>
            <w:shd w:val="clear" w:color="auto" w:fill="auto"/>
          </w:tcPr>
          <w:p w:rsidR="00737B52" w:rsidRPr="00545F65" w:rsidRDefault="00FF4A12" w:rsidP="00FF4A12">
            <w:pPr>
              <w:spacing w:after="120"/>
              <w:jc w:val="center"/>
              <w:rPr>
                <w:rFonts w:asciiTheme="minorHAnsi" w:hAnsiTheme="minorHAnsi"/>
              </w:rPr>
            </w:pPr>
            <w:r w:rsidRPr="00545F65">
              <w:rPr>
                <w:rFonts w:asciiTheme="minorHAnsi" w:hAnsiTheme="minorHAnsi"/>
              </w:rPr>
              <w:t>Yes</w:t>
            </w:r>
          </w:p>
        </w:tc>
      </w:tr>
    </w:tbl>
    <w:p w:rsidR="006D1DF6" w:rsidRPr="00545F65" w:rsidRDefault="006D1DF6" w:rsidP="00805A02">
      <w:pPr>
        <w:spacing w:after="120" w:line="240" w:lineRule="auto"/>
        <w:rPr>
          <w:rFonts w:asciiTheme="minorHAnsi" w:hAnsiTheme="minorHAnsi"/>
        </w:rPr>
      </w:pPr>
    </w:p>
    <w:p w:rsidR="009915D8" w:rsidRPr="00545F65" w:rsidRDefault="006D1DF6" w:rsidP="009915D8">
      <w:pPr>
        <w:tabs>
          <w:tab w:val="center" w:pos="7655"/>
        </w:tabs>
        <w:spacing w:after="120" w:line="240" w:lineRule="auto"/>
        <w:rPr>
          <w:rFonts w:asciiTheme="minorHAnsi" w:hAnsiTheme="minorHAnsi"/>
          <w:b/>
        </w:rPr>
      </w:pPr>
      <w:r w:rsidRPr="00545F65">
        <w:rPr>
          <w:rFonts w:asciiTheme="minorHAnsi" w:hAnsiTheme="minorHAnsi"/>
        </w:rPr>
        <w:t>The Agreement must address the following nine issues.</w:t>
      </w:r>
      <w:r w:rsidR="00FF4A12" w:rsidRPr="00545F65">
        <w:rPr>
          <w:rFonts w:asciiTheme="minorHAnsi" w:hAnsiTheme="minorHAnsi"/>
        </w:rPr>
        <w:tab/>
      </w:r>
      <w:r w:rsidR="009915D8" w:rsidRPr="00545F65">
        <w:rPr>
          <w:rFonts w:asciiTheme="minorHAnsi" w:hAnsiTheme="minorHAnsi"/>
          <w:b/>
        </w:rPr>
        <w:t>Reference(s)</w:t>
      </w:r>
    </w:p>
    <w:tbl>
      <w:tblPr>
        <w:tblStyle w:val="TableGrid"/>
        <w:tblW w:w="0" w:type="auto"/>
        <w:tblLook w:val="04A0" w:firstRow="1" w:lastRow="0" w:firstColumn="1" w:lastColumn="0" w:noHBand="0" w:noVBand="1"/>
      </w:tblPr>
      <w:tblGrid>
        <w:gridCol w:w="392"/>
        <w:gridCol w:w="5953"/>
        <w:gridCol w:w="3402"/>
      </w:tblGrid>
      <w:tr w:rsidR="002E1BB2"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1</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 xml:space="preserve">Affirm that staff teaching the course or </w:t>
            </w:r>
            <w:proofErr w:type="gramStart"/>
            <w:r w:rsidRPr="00545F65">
              <w:rPr>
                <w:rFonts w:asciiTheme="minorHAnsi" w:hAnsiTheme="minorHAnsi"/>
              </w:rPr>
              <w:t>programme have</w:t>
            </w:r>
            <w:proofErr w:type="gramEnd"/>
            <w:r w:rsidRPr="00545F65">
              <w:rPr>
                <w:rFonts w:asciiTheme="minorHAnsi" w:hAnsiTheme="minorHAnsi"/>
              </w:rPr>
              <w:t xml:space="preserve"> appropriate qualifications and employment conditions.</w:t>
            </w:r>
          </w:p>
        </w:tc>
        <w:tc>
          <w:tcPr>
            <w:tcW w:w="3402" w:type="dxa"/>
            <w:shd w:val="clear" w:color="auto" w:fill="auto"/>
          </w:tcPr>
          <w:p w:rsidR="00585DDF" w:rsidRPr="00545F65" w:rsidRDefault="009915D8" w:rsidP="00A637F5">
            <w:pPr>
              <w:spacing w:after="120"/>
              <w:rPr>
                <w:rFonts w:asciiTheme="minorHAnsi" w:hAnsiTheme="minorHAnsi"/>
              </w:rPr>
            </w:pPr>
            <w:r w:rsidRPr="00545F65">
              <w:rPr>
                <w:rFonts w:asciiTheme="minorHAnsi" w:hAnsiTheme="minorHAnsi"/>
              </w:rPr>
              <w:t>e.g. Agreement Clause 7; Proposal p.13</w:t>
            </w:r>
          </w:p>
        </w:tc>
      </w:tr>
      <w:tr w:rsidR="002E1BB2"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2</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Include agreements about availability of required staffing, libraries, equipment, support services and other resources, for both students and staff.</w:t>
            </w:r>
          </w:p>
        </w:tc>
        <w:tc>
          <w:tcPr>
            <w:tcW w:w="3402" w:type="dxa"/>
            <w:shd w:val="clear" w:color="auto" w:fill="auto"/>
          </w:tcPr>
          <w:p w:rsidR="002D690D" w:rsidRPr="00545F65" w:rsidRDefault="002D690D" w:rsidP="00420D7E">
            <w:pPr>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3</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Confirm that the programme of study being delivered overseas and the institution(s) comply with local law.</w:t>
            </w:r>
          </w:p>
        </w:tc>
        <w:tc>
          <w:tcPr>
            <w:tcW w:w="3402" w:type="dxa"/>
            <w:shd w:val="clear" w:color="auto" w:fill="auto"/>
          </w:tcPr>
          <w:p w:rsidR="002D690D" w:rsidRPr="00545F65" w:rsidRDefault="002D690D" w:rsidP="008A0592">
            <w:pPr>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4</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Specify any approval already received (and provide documentation on request) from:</w:t>
            </w:r>
          </w:p>
        </w:tc>
        <w:tc>
          <w:tcPr>
            <w:tcW w:w="3402" w:type="dxa"/>
            <w:shd w:val="clear" w:color="auto" w:fill="auto"/>
          </w:tcPr>
          <w:p w:rsidR="002D690D" w:rsidRPr="00545F65" w:rsidRDefault="002D690D" w:rsidP="002E1BB2">
            <w:pPr>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pStyle w:val="ListParagraph"/>
              <w:numPr>
                <w:ilvl w:val="0"/>
                <w:numId w:val="12"/>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8"/>
              </w:numPr>
              <w:tabs>
                <w:tab w:val="left" w:pos="426"/>
              </w:tabs>
              <w:spacing w:after="120"/>
              <w:ind w:left="459" w:hanging="284"/>
              <w:rPr>
                <w:rFonts w:asciiTheme="minorHAnsi" w:hAnsiTheme="minorHAnsi"/>
              </w:rPr>
            </w:pPr>
            <w:r w:rsidRPr="00545F65">
              <w:rPr>
                <w:rFonts w:asciiTheme="minorHAnsi" w:hAnsiTheme="minorHAnsi"/>
              </w:rPr>
              <w:t>any local accrediting agency</w:t>
            </w:r>
          </w:p>
        </w:tc>
        <w:tc>
          <w:tcPr>
            <w:tcW w:w="3402" w:type="dxa"/>
            <w:shd w:val="clear" w:color="auto" w:fill="auto"/>
          </w:tcPr>
          <w:p w:rsidR="002D690D" w:rsidRPr="00545F65" w:rsidRDefault="002D690D" w:rsidP="008A0592">
            <w:pPr>
              <w:tabs>
                <w:tab w:val="left" w:pos="426"/>
              </w:tabs>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pStyle w:val="ListParagraph"/>
              <w:numPr>
                <w:ilvl w:val="0"/>
                <w:numId w:val="12"/>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8"/>
              </w:numPr>
              <w:tabs>
                <w:tab w:val="left" w:pos="426"/>
              </w:tabs>
              <w:spacing w:after="120"/>
              <w:ind w:left="459" w:hanging="284"/>
              <w:rPr>
                <w:rFonts w:asciiTheme="minorHAnsi" w:hAnsiTheme="minorHAnsi"/>
              </w:rPr>
            </w:pPr>
            <w:r w:rsidRPr="00545F65">
              <w:rPr>
                <w:rFonts w:asciiTheme="minorHAnsi" w:hAnsiTheme="minorHAnsi"/>
              </w:rPr>
              <w:t>any relevant professional body</w:t>
            </w:r>
          </w:p>
        </w:tc>
        <w:tc>
          <w:tcPr>
            <w:tcW w:w="3402" w:type="dxa"/>
            <w:shd w:val="clear" w:color="auto" w:fill="auto"/>
          </w:tcPr>
          <w:p w:rsidR="002D690D" w:rsidRPr="00545F65" w:rsidRDefault="002D690D" w:rsidP="00A637F5">
            <w:pPr>
              <w:tabs>
                <w:tab w:val="left" w:pos="426"/>
              </w:tabs>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pStyle w:val="ListParagraph"/>
              <w:numPr>
                <w:ilvl w:val="0"/>
                <w:numId w:val="12"/>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8"/>
              </w:numPr>
              <w:tabs>
                <w:tab w:val="left" w:pos="426"/>
              </w:tabs>
              <w:spacing w:after="120"/>
              <w:ind w:left="459" w:hanging="284"/>
              <w:rPr>
                <w:rFonts w:asciiTheme="minorHAnsi" w:hAnsiTheme="minorHAnsi"/>
              </w:rPr>
            </w:pPr>
            <w:proofErr w:type="gramStart"/>
            <w:r w:rsidRPr="00545F65">
              <w:rPr>
                <w:rFonts w:asciiTheme="minorHAnsi" w:hAnsiTheme="minorHAnsi"/>
              </w:rPr>
              <w:t>any</w:t>
            </w:r>
            <w:proofErr w:type="gramEnd"/>
            <w:r w:rsidRPr="00545F65">
              <w:rPr>
                <w:rFonts w:asciiTheme="minorHAnsi" w:hAnsiTheme="minorHAnsi"/>
              </w:rPr>
              <w:t xml:space="preserve"> other statutory body which has programme approval authority in that country.</w:t>
            </w:r>
          </w:p>
        </w:tc>
        <w:tc>
          <w:tcPr>
            <w:tcW w:w="3402" w:type="dxa"/>
            <w:shd w:val="clear" w:color="auto" w:fill="auto"/>
          </w:tcPr>
          <w:p w:rsidR="002D690D" w:rsidRPr="00545F65" w:rsidRDefault="002D690D" w:rsidP="00A637F5">
            <w:pPr>
              <w:tabs>
                <w:tab w:val="left" w:pos="426"/>
              </w:tabs>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5</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Outline procedures which will be adopted to ensure academic standards appropriate to a New Zealand qualification are met, including in particular:</w:t>
            </w:r>
          </w:p>
        </w:tc>
        <w:tc>
          <w:tcPr>
            <w:tcW w:w="3402" w:type="dxa"/>
            <w:shd w:val="clear" w:color="auto" w:fill="auto"/>
          </w:tcPr>
          <w:p w:rsidR="002D690D" w:rsidRPr="00545F65" w:rsidRDefault="002D690D" w:rsidP="00420D7E">
            <w:pPr>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pStyle w:val="ListParagraph"/>
              <w:numPr>
                <w:ilvl w:val="0"/>
                <w:numId w:val="13"/>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9"/>
              </w:numPr>
              <w:tabs>
                <w:tab w:val="left" w:pos="459"/>
              </w:tabs>
              <w:spacing w:after="120"/>
              <w:ind w:left="459" w:hanging="284"/>
              <w:rPr>
                <w:rFonts w:asciiTheme="minorHAnsi" w:hAnsiTheme="minorHAnsi"/>
              </w:rPr>
            </w:pPr>
            <w:r w:rsidRPr="00545F65">
              <w:rPr>
                <w:rFonts w:asciiTheme="minorHAnsi" w:hAnsiTheme="minorHAnsi"/>
              </w:rPr>
              <w:t>procedures for initial validation and approval</w:t>
            </w:r>
          </w:p>
        </w:tc>
        <w:tc>
          <w:tcPr>
            <w:tcW w:w="3402" w:type="dxa"/>
            <w:shd w:val="clear" w:color="auto" w:fill="auto"/>
          </w:tcPr>
          <w:p w:rsidR="002D690D" w:rsidRPr="00545F65" w:rsidRDefault="002D690D" w:rsidP="00A637F5">
            <w:pPr>
              <w:tabs>
                <w:tab w:val="left" w:pos="426"/>
              </w:tabs>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pStyle w:val="ListParagraph"/>
              <w:numPr>
                <w:ilvl w:val="0"/>
                <w:numId w:val="13"/>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9"/>
              </w:numPr>
              <w:tabs>
                <w:tab w:val="left" w:pos="459"/>
              </w:tabs>
              <w:spacing w:after="120"/>
              <w:ind w:left="459" w:hanging="284"/>
              <w:rPr>
                <w:rFonts w:asciiTheme="minorHAnsi" w:hAnsiTheme="minorHAnsi"/>
              </w:rPr>
            </w:pPr>
            <w:r w:rsidRPr="00545F65">
              <w:rPr>
                <w:rFonts w:asciiTheme="minorHAnsi" w:hAnsiTheme="minorHAnsi"/>
              </w:rPr>
              <w:t>procedures for evaluation, monitoring and periodic review</w:t>
            </w:r>
          </w:p>
        </w:tc>
        <w:tc>
          <w:tcPr>
            <w:tcW w:w="3402" w:type="dxa"/>
            <w:shd w:val="clear" w:color="auto" w:fill="auto"/>
          </w:tcPr>
          <w:p w:rsidR="002D690D" w:rsidRPr="00545F65" w:rsidRDefault="002D690D" w:rsidP="00A637F5">
            <w:pPr>
              <w:tabs>
                <w:tab w:val="left" w:pos="426"/>
              </w:tabs>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pStyle w:val="ListParagraph"/>
              <w:numPr>
                <w:ilvl w:val="0"/>
                <w:numId w:val="13"/>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9"/>
              </w:numPr>
              <w:tabs>
                <w:tab w:val="left" w:pos="459"/>
              </w:tabs>
              <w:spacing w:after="120"/>
              <w:ind w:left="459" w:hanging="284"/>
              <w:rPr>
                <w:rFonts w:asciiTheme="minorHAnsi" w:hAnsiTheme="minorHAnsi"/>
              </w:rPr>
            </w:pPr>
            <w:r w:rsidRPr="00545F65">
              <w:rPr>
                <w:rFonts w:asciiTheme="minorHAnsi" w:hAnsiTheme="minorHAnsi"/>
              </w:rPr>
              <w:t>assessment and examination arrangements</w:t>
            </w:r>
          </w:p>
        </w:tc>
        <w:tc>
          <w:tcPr>
            <w:tcW w:w="3402" w:type="dxa"/>
            <w:shd w:val="clear" w:color="auto" w:fill="auto"/>
          </w:tcPr>
          <w:p w:rsidR="002D690D" w:rsidRPr="00545F65" w:rsidRDefault="002D690D" w:rsidP="00A637F5">
            <w:pPr>
              <w:tabs>
                <w:tab w:val="left" w:pos="426"/>
              </w:tabs>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pStyle w:val="ListParagraph"/>
              <w:numPr>
                <w:ilvl w:val="0"/>
                <w:numId w:val="13"/>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9"/>
              </w:numPr>
              <w:tabs>
                <w:tab w:val="left" w:pos="459"/>
              </w:tabs>
              <w:spacing w:after="120"/>
              <w:ind w:left="459" w:hanging="284"/>
              <w:rPr>
                <w:rFonts w:asciiTheme="minorHAnsi" w:hAnsiTheme="minorHAnsi"/>
              </w:rPr>
            </w:pPr>
            <w:proofErr w:type="gramStart"/>
            <w:r w:rsidRPr="00545F65">
              <w:rPr>
                <w:rFonts w:asciiTheme="minorHAnsi" w:hAnsiTheme="minorHAnsi"/>
              </w:rPr>
              <w:t>responsibility</w:t>
            </w:r>
            <w:proofErr w:type="gramEnd"/>
            <w:r w:rsidRPr="00545F65">
              <w:rPr>
                <w:rFonts w:asciiTheme="minorHAnsi" w:hAnsiTheme="minorHAnsi"/>
              </w:rPr>
              <w:t xml:space="preserve"> for oversight of the above, and procedures for resolving any difference which might arise between the collaborating institutions.</w:t>
            </w:r>
          </w:p>
        </w:tc>
        <w:tc>
          <w:tcPr>
            <w:tcW w:w="3402" w:type="dxa"/>
            <w:shd w:val="clear" w:color="auto" w:fill="auto"/>
          </w:tcPr>
          <w:p w:rsidR="002D690D" w:rsidRPr="00545F65" w:rsidRDefault="002D690D" w:rsidP="00A637F5">
            <w:pPr>
              <w:tabs>
                <w:tab w:val="left" w:pos="426"/>
              </w:tabs>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6</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Outline procedures which will be adopted to ensure student interests are considered, in particular with respect to:</w:t>
            </w:r>
          </w:p>
        </w:tc>
        <w:tc>
          <w:tcPr>
            <w:tcW w:w="3402" w:type="dxa"/>
            <w:shd w:val="clear" w:color="auto" w:fill="auto"/>
          </w:tcPr>
          <w:p w:rsidR="002D690D" w:rsidRPr="00545F65" w:rsidRDefault="002D690D" w:rsidP="00420D7E">
            <w:pPr>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pStyle w:val="ListParagraph"/>
              <w:numPr>
                <w:ilvl w:val="0"/>
                <w:numId w:val="14"/>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7"/>
              </w:numPr>
              <w:tabs>
                <w:tab w:val="left" w:pos="459"/>
              </w:tabs>
              <w:spacing w:after="120"/>
              <w:ind w:left="459" w:hanging="284"/>
              <w:rPr>
                <w:rFonts w:asciiTheme="minorHAnsi" w:hAnsiTheme="minorHAnsi"/>
              </w:rPr>
            </w:pPr>
            <w:r w:rsidRPr="00545F65">
              <w:rPr>
                <w:rFonts w:asciiTheme="minorHAnsi" w:hAnsiTheme="minorHAnsi"/>
              </w:rPr>
              <w:t>academic grievance and appeal procedures</w:t>
            </w:r>
          </w:p>
        </w:tc>
        <w:tc>
          <w:tcPr>
            <w:tcW w:w="3402" w:type="dxa"/>
            <w:shd w:val="clear" w:color="auto" w:fill="auto"/>
          </w:tcPr>
          <w:p w:rsidR="002D690D" w:rsidRPr="00545F65" w:rsidRDefault="002D690D" w:rsidP="002E1BB2">
            <w:pPr>
              <w:tabs>
                <w:tab w:val="left" w:pos="426"/>
              </w:tabs>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pStyle w:val="ListParagraph"/>
              <w:numPr>
                <w:ilvl w:val="0"/>
                <w:numId w:val="14"/>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7"/>
              </w:numPr>
              <w:tabs>
                <w:tab w:val="left" w:pos="459"/>
              </w:tabs>
              <w:spacing w:after="120"/>
              <w:ind w:left="459" w:hanging="284"/>
              <w:rPr>
                <w:rFonts w:asciiTheme="minorHAnsi" w:hAnsiTheme="minorHAnsi"/>
              </w:rPr>
            </w:pPr>
            <w:r w:rsidRPr="00545F65">
              <w:rPr>
                <w:rFonts w:asciiTheme="minorHAnsi" w:hAnsiTheme="minorHAnsi"/>
              </w:rPr>
              <w:t>means of, and responsibility for, communicating to students any particular requirements of the programme arising out of its collaborative nature</w:t>
            </w:r>
          </w:p>
        </w:tc>
        <w:tc>
          <w:tcPr>
            <w:tcW w:w="3402" w:type="dxa"/>
            <w:shd w:val="clear" w:color="auto" w:fill="auto"/>
          </w:tcPr>
          <w:p w:rsidR="002D690D" w:rsidRPr="00545F65" w:rsidRDefault="002D690D" w:rsidP="002E1BB2">
            <w:pPr>
              <w:tabs>
                <w:tab w:val="left" w:pos="426"/>
              </w:tabs>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pStyle w:val="ListParagraph"/>
              <w:numPr>
                <w:ilvl w:val="0"/>
                <w:numId w:val="14"/>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7"/>
              </w:numPr>
              <w:tabs>
                <w:tab w:val="left" w:pos="459"/>
              </w:tabs>
              <w:spacing w:after="120"/>
              <w:ind w:left="459" w:hanging="284"/>
              <w:rPr>
                <w:rFonts w:asciiTheme="minorHAnsi" w:hAnsiTheme="minorHAnsi"/>
              </w:rPr>
            </w:pPr>
            <w:r w:rsidRPr="00545F65">
              <w:rPr>
                <w:rFonts w:asciiTheme="minorHAnsi" w:hAnsiTheme="minorHAnsi"/>
              </w:rPr>
              <w:t>culturally-specific needs in terms of academic practice and access to resources</w:t>
            </w:r>
          </w:p>
        </w:tc>
        <w:tc>
          <w:tcPr>
            <w:tcW w:w="3402" w:type="dxa"/>
            <w:shd w:val="clear" w:color="auto" w:fill="auto"/>
          </w:tcPr>
          <w:p w:rsidR="002D690D" w:rsidRPr="00545F65" w:rsidRDefault="002D690D" w:rsidP="002E1BB2">
            <w:pPr>
              <w:tabs>
                <w:tab w:val="left" w:pos="426"/>
              </w:tabs>
              <w:spacing w:after="120"/>
              <w:rPr>
                <w:rFonts w:asciiTheme="minorHAnsi" w:hAnsiTheme="minorHAnsi"/>
              </w:rPr>
            </w:pPr>
          </w:p>
        </w:tc>
      </w:tr>
      <w:tr w:rsidR="002E1BB2" w:rsidRPr="00545F65" w:rsidTr="005A1A30">
        <w:tc>
          <w:tcPr>
            <w:tcW w:w="392" w:type="dxa"/>
            <w:shd w:val="clear" w:color="auto" w:fill="auto"/>
          </w:tcPr>
          <w:p w:rsidR="002D690D" w:rsidRPr="00545F65" w:rsidRDefault="002D690D" w:rsidP="00420D7E">
            <w:pPr>
              <w:pStyle w:val="ListParagraph"/>
              <w:numPr>
                <w:ilvl w:val="0"/>
                <w:numId w:val="14"/>
              </w:numPr>
              <w:tabs>
                <w:tab w:val="left" w:pos="426"/>
              </w:tabs>
              <w:spacing w:after="120"/>
              <w:rPr>
                <w:rFonts w:asciiTheme="minorHAnsi" w:hAnsiTheme="minorHAnsi"/>
              </w:rPr>
            </w:pPr>
          </w:p>
        </w:tc>
        <w:tc>
          <w:tcPr>
            <w:tcW w:w="5953" w:type="dxa"/>
            <w:shd w:val="clear" w:color="auto" w:fill="auto"/>
          </w:tcPr>
          <w:p w:rsidR="002D690D" w:rsidRPr="00545F65" w:rsidRDefault="002D690D" w:rsidP="005D3CE4">
            <w:pPr>
              <w:pStyle w:val="ListParagraph"/>
              <w:numPr>
                <w:ilvl w:val="0"/>
                <w:numId w:val="17"/>
              </w:numPr>
              <w:tabs>
                <w:tab w:val="left" w:pos="459"/>
              </w:tabs>
              <w:spacing w:after="120"/>
              <w:ind w:left="459" w:hanging="284"/>
              <w:rPr>
                <w:rFonts w:asciiTheme="minorHAnsi" w:hAnsiTheme="minorHAnsi"/>
              </w:rPr>
            </w:pPr>
            <w:proofErr w:type="gramStart"/>
            <w:r w:rsidRPr="00545F65">
              <w:rPr>
                <w:rFonts w:asciiTheme="minorHAnsi" w:hAnsiTheme="minorHAnsi"/>
              </w:rPr>
              <w:t>management</w:t>
            </w:r>
            <w:proofErr w:type="gramEnd"/>
            <w:r w:rsidRPr="00545F65">
              <w:rPr>
                <w:rFonts w:asciiTheme="minorHAnsi" w:hAnsiTheme="minorHAnsi"/>
              </w:rPr>
              <w:t xml:space="preserve"> of student interests should the arrangement between the partners cease.</w:t>
            </w:r>
          </w:p>
        </w:tc>
        <w:tc>
          <w:tcPr>
            <w:tcW w:w="3402" w:type="dxa"/>
            <w:shd w:val="clear" w:color="auto" w:fill="auto"/>
          </w:tcPr>
          <w:p w:rsidR="002D690D" w:rsidRPr="00545F65" w:rsidRDefault="002D690D" w:rsidP="002E1BB2">
            <w:pPr>
              <w:tabs>
                <w:tab w:val="left" w:pos="426"/>
              </w:tabs>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lastRenderedPageBreak/>
              <w:t>7</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Confirm the financial stability of all partners with respect to their capacity to contribute to the programme.</w:t>
            </w:r>
          </w:p>
        </w:tc>
        <w:tc>
          <w:tcPr>
            <w:tcW w:w="3402" w:type="dxa"/>
            <w:shd w:val="clear" w:color="auto" w:fill="auto"/>
          </w:tcPr>
          <w:p w:rsidR="002D690D" w:rsidRPr="00545F65" w:rsidRDefault="002D690D" w:rsidP="00420D7E">
            <w:pPr>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8</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Outline the procedures to be adopted should any of the provisions of the Agreement with respect to academic programmes not be met, for whatever reason.</w:t>
            </w:r>
          </w:p>
        </w:tc>
        <w:tc>
          <w:tcPr>
            <w:tcW w:w="3402" w:type="dxa"/>
            <w:shd w:val="clear" w:color="auto" w:fill="auto"/>
          </w:tcPr>
          <w:p w:rsidR="002D690D" w:rsidRPr="00545F65" w:rsidRDefault="002D690D" w:rsidP="00420D7E">
            <w:pPr>
              <w:spacing w:after="120"/>
              <w:rPr>
                <w:rFonts w:asciiTheme="minorHAnsi" w:hAnsiTheme="minorHAnsi"/>
              </w:rPr>
            </w:pPr>
          </w:p>
        </w:tc>
      </w:tr>
      <w:tr w:rsidR="00A637F5" w:rsidRPr="00545F65" w:rsidTr="005A1A30">
        <w:tc>
          <w:tcPr>
            <w:tcW w:w="392"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9</w:t>
            </w:r>
          </w:p>
        </w:tc>
        <w:tc>
          <w:tcPr>
            <w:tcW w:w="5953" w:type="dxa"/>
            <w:shd w:val="clear" w:color="auto" w:fill="auto"/>
          </w:tcPr>
          <w:p w:rsidR="002D690D" w:rsidRPr="00545F65" w:rsidRDefault="002D690D" w:rsidP="00420D7E">
            <w:pPr>
              <w:spacing w:after="120"/>
              <w:rPr>
                <w:rFonts w:asciiTheme="minorHAnsi" w:hAnsiTheme="minorHAnsi"/>
              </w:rPr>
            </w:pPr>
            <w:r w:rsidRPr="00545F65">
              <w:rPr>
                <w:rFonts w:asciiTheme="minorHAnsi" w:hAnsiTheme="minorHAnsi"/>
              </w:rPr>
              <w:t>Specify the individuals from each institution responsible for oversight of the Agreement, with respect to the above academic requirements.</w:t>
            </w:r>
          </w:p>
        </w:tc>
        <w:tc>
          <w:tcPr>
            <w:tcW w:w="3402" w:type="dxa"/>
            <w:shd w:val="clear" w:color="auto" w:fill="auto"/>
          </w:tcPr>
          <w:p w:rsidR="002D690D" w:rsidRPr="00545F65" w:rsidRDefault="002D690D" w:rsidP="00420D7E">
            <w:pPr>
              <w:spacing w:after="120"/>
              <w:rPr>
                <w:rFonts w:asciiTheme="minorHAnsi" w:hAnsiTheme="minorHAnsi"/>
              </w:rPr>
            </w:pPr>
          </w:p>
        </w:tc>
      </w:tr>
    </w:tbl>
    <w:p w:rsidR="000313C7" w:rsidRPr="00545F65" w:rsidRDefault="000313C7" w:rsidP="00805A02">
      <w:pPr>
        <w:pStyle w:val="Heading3"/>
        <w:rPr>
          <w:rFonts w:asciiTheme="minorHAnsi" w:hAnsiTheme="minorHAnsi"/>
          <w:sz w:val="22"/>
        </w:rPr>
      </w:pPr>
      <w:bookmarkStart w:id="4" w:name="_Toc354749595"/>
    </w:p>
    <w:p w:rsidR="00805A02" w:rsidRPr="00545F65" w:rsidRDefault="00805A02" w:rsidP="00805A02">
      <w:pPr>
        <w:pStyle w:val="Heading3"/>
        <w:rPr>
          <w:rFonts w:asciiTheme="minorHAnsi" w:hAnsiTheme="minorHAnsi"/>
          <w:sz w:val="22"/>
        </w:rPr>
      </w:pPr>
      <w:r w:rsidRPr="00545F65">
        <w:rPr>
          <w:rFonts w:asciiTheme="minorHAnsi" w:hAnsiTheme="minorHAnsi"/>
          <w:sz w:val="22"/>
        </w:rPr>
        <w:t>Requirements for universities delivering qualifications offshore without an overseas partner institution</w:t>
      </w:r>
      <w:bookmarkEnd w:id="4"/>
      <w:r w:rsidR="00EF2FD6" w:rsidRPr="00545F65">
        <w:rPr>
          <w:rFonts w:asciiTheme="minorHAnsi" w:hAnsiTheme="minorHAnsi"/>
          <w:sz w:val="22"/>
        </w:rPr>
        <w:t xml:space="preserve"> </w:t>
      </w:r>
      <w:r w:rsidR="00EF2FD6" w:rsidRPr="00545F65">
        <w:rPr>
          <w:rFonts w:asciiTheme="minorHAnsi" w:hAnsiTheme="minorHAnsi"/>
          <w:b w:val="0"/>
          <w:sz w:val="22"/>
        </w:rPr>
        <w:t>(</w:t>
      </w:r>
      <w:r w:rsidR="00305D9D">
        <w:rPr>
          <w:rFonts w:asciiTheme="minorHAnsi" w:hAnsiTheme="minorHAnsi"/>
          <w:b w:val="0"/>
          <w:sz w:val="22"/>
        </w:rPr>
        <w:t xml:space="preserve">see Section </w:t>
      </w:r>
      <w:r w:rsidR="00EF2FD6" w:rsidRPr="00545F65">
        <w:rPr>
          <w:rFonts w:asciiTheme="minorHAnsi" w:hAnsiTheme="minorHAnsi"/>
          <w:b w:val="0"/>
          <w:sz w:val="22"/>
        </w:rPr>
        <w:t>17.5</w:t>
      </w:r>
      <w:r w:rsidR="00305D9D">
        <w:rPr>
          <w:rFonts w:asciiTheme="minorHAnsi" w:hAnsiTheme="minorHAnsi"/>
          <w:b w:val="0"/>
          <w:sz w:val="22"/>
        </w:rPr>
        <w:t xml:space="preserve"> </w:t>
      </w:r>
      <w:r w:rsidR="00305D9D" w:rsidRPr="00305D9D">
        <w:rPr>
          <w:rFonts w:asciiTheme="minorHAnsi" w:hAnsiTheme="minorHAnsi"/>
          <w:b w:val="0"/>
          <w:sz w:val="22"/>
        </w:rPr>
        <w:t>CUAP Handbook</w:t>
      </w:r>
      <w:r w:rsidR="00EF2FD6" w:rsidRPr="00545F65">
        <w:rPr>
          <w:rFonts w:asciiTheme="minorHAnsi" w:hAnsiTheme="minorHAnsi"/>
          <w:b w:val="0"/>
          <w:sz w:val="22"/>
        </w:rPr>
        <w:t>)</w:t>
      </w:r>
    </w:p>
    <w:p w:rsidR="006D1DF6" w:rsidRPr="00545F65" w:rsidRDefault="00805A02" w:rsidP="00805A02">
      <w:pPr>
        <w:spacing w:after="120" w:line="240" w:lineRule="auto"/>
        <w:rPr>
          <w:rFonts w:asciiTheme="minorHAnsi" w:hAnsiTheme="minorHAnsi"/>
        </w:rPr>
      </w:pPr>
      <w:r w:rsidRPr="00545F65">
        <w:rPr>
          <w:rFonts w:asciiTheme="minorHAnsi" w:hAnsiTheme="minorHAnsi"/>
        </w:rPr>
        <w:t xml:space="preserve">All proposals for programmes or awards to be offered by a New Zealand university offshore must satisfy normal CUAP assessment requirements. </w:t>
      </w:r>
    </w:p>
    <w:p w:rsidR="005A1A30" w:rsidRPr="00545F65" w:rsidRDefault="005A1A30" w:rsidP="009915D8">
      <w:pPr>
        <w:tabs>
          <w:tab w:val="center" w:pos="7655"/>
        </w:tabs>
        <w:spacing w:after="120" w:line="240" w:lineRule="auto"/>
        <w:rPr>
          <w:rFonts w:asciiTheme="minorHAnsi" w:hAnsiTheme="minorHAnsi"/>
        </w:rPr>
      </w:pPr>
    </w:p>
    <w:p w:rsidR="00805A02" w:rsidRPr="00545F65" w:rsidRDefault="00EF2FD6" w:rsidP="009915D8">
      <w:pPr>
        <w:tabs>
          <w:tab w:val="center" w:pos="7655"/>
        </w:tabs>
        <w:spacing w:after="120" w:line="240" w:lineRule="auto"/>
        <w:rPr>
          <w:rFonts w:asciiTheme="minorHAnsi" w:hAnsiTheme="minorHAnsi"/>
          <w:b/>
        </w:rPr>
      </w:pPr>
      <w:r w:rsidRPr="00545F65">
        <w:rPr>
          <w:rFonts w:asciiTheme="minorHAnsi" w:hAnsiTheme="minorHAnsi"/>
        </w:rPr>
        <w:t>A report must be submitted which includes</w:t>
      </w:r>
      <w:r w:rsidR="00805A02" w:rsidRPr="00545F65">
        <w:rPr>
          <w:rFonts w:asciiTheme="minorHAnsi" w:hAnsiTheme="minorHAnsi"/>
        </w:rPr>
        <w:t xml:space="preserve"> evidence that:</w:t>
      </w:r>
      <w:r w:rsidR="009915D8" w:rsidRPr="00545F65">
        <w:rPr>
          <w:rFonts w:asciiTheme="minorHAnsi" w:hAnsiTheme="minorHAnsi"/>
        </w:rPr>
        <w:tab/>
      </w:r>
      <w:r w:rsidR="009915D8" w:rsidRPr="00545F65">
        <w:rPr>
          <w:rFonts w:asciiTheme="minorHAnsi" w:hAnsiTheme="minorHAnsi"/>
          <w:b/>
        </w:rPr>
        <w:t>Reference(s)</w:t>
      </w:r>
    </w:p>
    <w:tbl>
      <w:tblPr>
        <w:tblStyle w:val="TableGrid"/>
        <w:tblW w:w="0" w:type="auto"/>
        <w:tblLook w:val="04A0" w:firstRow="1" w:lastRow="0" w:firstColumn="1" w:lastColumn="0" w:noHBand="0" w:noVBand="1"/>
      </w:tblPr>
      <w:tblGrid>
        <w:gridCol w:w="6345"/>
        <w:gridCol w:w="3402"/>
      </w:tblGrid>
      <w:tr w:rsidR="00EF2FD6" w:rsidRPr="00545F65" w:rsidTr="005A1A30">
        <w:tc>
          <w:tcPr>
            <w:tcW w:w="6345" w:type="dxa"/>
          </w:tcPr>
          <w:p w:rsidR="00EF2FD6" w:rsidRPr="00545F65" w:rsidRDefault="002D690D" w:rsidP="006E27C3">
            <w:pPr>
              <w:tabs>
                <w:tab w:val="left" w:pos="426"/>
              </w:tabs>
              <w:spacing w:after="120"/>
              <w:rPr>
                <w:rFonts w:asciiTheme="minorHAnsi" w:hAnsiTheme="minorHAnsi"/>
              </w:rPr>
            </w:pPr>
            <w:r w:rsidRPr="00545F65">
              <w:rPr>
                <w:rFonts w:asciiTheme="minorHAnsi" w:hAnsiTheme="minorHAnsi"/>
              </w:rPr>
              <w:t>T</w:t>
            </w:r>
            <w:r w:rsidR="00EF2FD6" w:rsidRPr="00545F65">
              <w:rPr>
                <w:rFonts w:asciiTheme="minorHAnsi" w:hAnsiTheme="minorHAnsi"/>
              </w:rPr>
              <w:t>he design of the programme is suited to delivery in the host country and suited to the needs of the intended students</w:t>
            </w:r>
          </w:p>
        </w:tc>
        <w:tc>
          <w:tcPr>
            <w:tcW w:w="3402" w:type="dxa"/>
          </w:tcPr>
          <w:p w:rsidR="00EF2FD6" w:rsidRPr="00545F65" w:rsidRDefault="009915D8" w:rsidP="009915D8">
            <w:pPr>
              <w:tabs>
                <w:tab w:val="left" w:pos="426"/>
              </w:tabs>
              <w:spacing w:after="120"/>
              <w:rPr>
                <w:rFonts w:asciiTheme="minorHAnsi" w:hAnsiTheme="minorHAnsi"/>
              </w:rPr>
            </w:pPr>
            <w:r w:rsidRPr="00545F65">
              <w:rPr>
                <w:rFonts w:asciiTheme="minorHAnsi" w:hAnsiTheme="minorHAnsi"/>
              </w:rPr>
              <w:t>e.g. Proposal pp.13, 18</w:t>
            </w:r>
          </w:p>
        </w:tc>
      </w:tr>
      <w:tr w:rsidR="00EF2FD6" w:rsidRPr="00545F65" w:rsidTr="005A1A30">
        <w:tc>
          <w:tcPr>
            <w:tcW w:w="6345" w:type="dxa"/>
          </w:tcPr>
          <w:p w:rsidR="00EF2FD6" w:rsidRPr="00545F65" w:rsidRDefault="002D690D" w:rsidP="006E27C3">
            <w:pPr>
              <w:tabs>
                <w:tab w:val="left" w:pos="426"/>
              </w:tabs>
              <w:spacing w:after="120"/>
              <w:rPr>
                <w:rFonts w:asciiTheme="minorHAnsi" w:hAnsiTheme="minorHAnsi"/>
              </w:rPr>
            </w:pPr>
            <w:r w:rsidRPr="00545F65">
              <w:rPr>
                <w:rFonts w:asciiTheme="minorHAnsi" w:hAnsiTheme="minorHAnsi"/>
              </w:rPr>
              <w:t>T</w:t>
            </w:r>
            <w:r w:rsidR="00EF2FD6" w:rsidRPr="00545F65">
              <w:rPr>
                <w:rFonts w:asciiTheme="minorHAnsi" w:hAnsiTheme="minorHAnsi"/>
              </w:rPr>
              <w:t>he following aspects of the programme to be delivered offshore are comparable to the New Zealand based programme delivery:</w:t>
            </w:r>
          </w:p>
        </w:tc>
        <w:tc>
          <w:tcPr>
            <w:tcW w:w="3402" w:type="dxa"/>
          </w:tcPr>
          <w:p w:rsidR="00EF2FD6" w:rsidRPr="00545F65" w:rsidRDefault="00EF2FD6" w:rsidP="009915D8">
            <w:pPr>
              <w:tabs>
                <w:tab w:val="left" w:pos="426"/>
              </w:tabs>
              <w:spacing w:after="120"/>
              <w:rPr>
                <w:rFonts w:asciiTheme="minorHAnsi" w:hAnsiTheme="minorHAnsi"/>
              </w:rPr>
            </w:pPr>
          </w:p>
        </w:tc>
      </w:tr>
      <w:tr w:rsidR="00EF2FD6" w:rsidRPr="00545F65" w:rsidTr="005A1A30">
        <w:tc>
          <w:tcPr>
            <w:tcW w:w="6345" w:type="dxa"/>
          </w:tcPr>
          <w:p w:rsidR="00EF2FD6" w:rsidRPr="00545F65" w:rsidRDefault="00EF2FD6" w:rsidP="005D3CE4">
            <w:pPr>
              <w:pStyle w:val="ListParagraph"/>
              <w:numPr>
                <w:ilvl w:val="1"/>
                <w:numId w:val="8"/>
              </w:numPr>
              <w:tabs>
                <w:tab w:val="left" w:pos="567"/>
              </w:tabs>
              <w:spacing w:after="120"/>
              <w:ind w:left="567" w:hanging="283"/>
              <w:rPr>
                <w:rFonts w:asciiTheme="minorHAnsi" w:hAnsiTheme="minorHAnsi"/>
              </w:rPr>
            </w:pPr>
            <w:r w:rsidRPr="00545F65">
              <w:rPr>
                <w:rFonts w:asciiTheme="minorHAnsi" w:hAnsiTheme="minorHAnsi"/>
              </w:rPr>
              <w:t>programme learning outcomes</w:t>
            </w:r>
          </w:p>
        </w:tc>
        <w:tc>
          <w:tcPr>
            <w:tcW w:w="3402" w:type="dxa"/>
          </w:tcPr>
          <w:p w:rsidR="00EF2FD6" w:rsidRPr="00545F65" w:rsidRDefault="00EF2FD6" w:rsidP="009915D8">
            <w:pPr>
              <w:tabs>
                <w:tab w:val="left" w:pos="426"/>
              </w:tabs>
              <w:spacing w:after="120"/>
              <w:ind w:left="993"/>
              <w:rPr>
                <w:rFonts w:asciiTheme="minorHAnsi" w:hAnsiTheme="minorHAnsi"/>
              </w:rPr>
            </w:pPr>
          </w:p>
        </w:tc>
      </w:tr>
      <w:tr w:rsidR="00EF2FD6" w:rsidRPr="00545F65" w:rsidTr="005A1A30">
        <w:tc>
          <w:tcPr>
            <w:tcW w:w="6345" w:type="dxa"/>
          </w:tcPr>
          <w:p w:rsidR="00EF2FD6" w:rsidRPr="00545F65" w:rsidRDefault="00EF2FD6" w:rsidP="005D3CE4">
            <w:pPr>
              <w:pStyle w:val="ListParagraph"/>
              <w:numPr>
                <w:ilvl w:val="1"/>
                <w:numId w:val="8"/>
              </w:numPr>
              <w:tabs>
                <w:tab w:val="left" w:pos="567"/>
              </w:tabs>
              <w:spacing w:after="120"/>
              <w:ind w:left="567" w:hanging="283"/>
              <w:rPr>
                <w:rFonts w:asciiTheme="minorHAnsi" w:hAnsiTheme="minorHAnsi"/>
              </w:rPr>
            </w:pPr>
            <w:r w:rsidRPr="00545F65">
              <w:rPr>
                <w:rFonts w:asciiTheme="minorHAnsi" w:hAnsiTheme="minorHAnsi"/>
              </w:rPr>
              <w:t>content</w:t>
            </w:r>
          </w:p>
        </w:tc>
        <w:tc>
          <w:tcPr>
            <w:tcW w:w="3402" w:type="dxa"/>
          </w:tcPr>
          <w:p w:rsidR="00EF2FD6" w:rsidRPr="00545F65" w:rsidRDefault="00EF2FD6" w:rsidP="009915D8">
            <w:pPr>
              <w:tabs>
                <w:tab w:val="left" w:pos="426"/>
              </w:tabs>
              <w:spacing w:after="120"/>
              <w:ind w:left="993"/>
              <w:rPr>
                <w:rFonts w:asciiTheme="minorHAnsi" w:hAnsiTheme="minorHAnsi"/>
              </w:rPr>
            </w:pPr>
          </w:p>
        </w:tc>
      </w:tr>
      <w:tr w:rsidR="00EF2FD6" w:rsidRPr="00545F65" w:rsidTr="005A1A30">
        <w:tc>
          <w:tcPr>
            <w:tcW w:w="6345" w:type="dxa"/>
          </w:tcPr>
          <w:p w:rsidR="00EF2FD6" w:rsidRPr="00545F65" w:rsidRDefault="00EF2FD6" w:rsidP="005D3CE4">
            <w:pPr>
              <w:pStyle w:val="ListParagraph"/>
              <w:numPr>
                <w:ilvl w:val="1"/>
                <w:numId w:val="8"/>
              </w:numPr>
              <w:tabs>
                <w:tab w:val="left" w:pos="567"/>
              </w:tabs>
              <w:spacing w:after="120"/>
              <w:ind w:left="567" w:hanging="283"/>
              <w:rPr>
                <w:rFonts w:asciiTheme="minorHAnsi" w:hAnsiTheme="minorHAnsi"/>
              </w:rPr>
            </w:pPr>
            <w:r w:rsidRPr="00545F65">
              <w:rPr>
                <w:rFonts w:asciiTheme="minorHAnsi" w:hAnsiTheme="minorHAnsi"/>
              </w:rPr>
              <w:t>acceptability to the relevant academic bodies, employers, industry bodies, professional bodies and other relevant bodies</w:t>
            </w:r>
          </w:p>
        </w:tc>
        <w:tc>
          <w:tcPr>
            <w:tcW w:w="3402" w:type="dxa"/>
          </w:tcPr>
          <w:p w:rsidR="00EF2FD6" w:rsidRPr="00545F65" w:rsidRDefault="00EF2FD6" w:rsidP="009915D8">
            <w:pPr>
              <w:tabs>
                <w:tab w:val="left" w:pos="426"/>
              </w:tabs>
              <w:spacing w:after="120"/>
              <w:ind w:left="993"/>
              <w:rPr>
                <w:rFonts w:asciiTheme="minorHAnsi" w:hAnsiTheme="minorHAnsi"/>
              </w:rPr>
            </w:pPr>
          </w:p>
        </w:tc>
      </w:tr>
      <w:tr w:rsidR="00EF2FD6" w:rsidRPr="00545F65" w:rsidTr="005A1A30">
        <w:tc>
          <w:tcPr>
            <w:tcW w:w="6345" w:type="dxa"/>
          </w:tcPr>
          <w:p w:rsidR="00EF2FD6" w:rsidRPr="00545F65" w:rsidRDefault="00EF2FD6" w:rsidP="005D3CE4">
            <w:pPr>
              <w:pStyle w:val="ListParagraph"/>
              <w:numPr>
                <w:ilvl w:val="1"/>
                <w:numId w:val="8"/>
              </w:numPr>
              <w:tabs>
                <w:tab w:val="left" w:pos="567"/>
              </w:tabs>
              <w:spacing w:after="120"/>
              <w:ind w:left="567" w:hanging="283"/>
              <w:rPr>
                <w:rFonts w:asciiTheme="minorHAnsi" w:hAnsiTheme="minorHAnsi"/>
              </w:rPr>
            </w:pPr>
            <w:r w:rsidRPr="00545F65">
              <w:rPr>
                <w:rFonts w:asciiTheme="minorHAnsi" w:hAnsiTheme="minorHAnsi"/>
              </w:rPr>
              <w:t>student workload (credit value, level and duration)</w:t>
            </w:r>
          </w:p>
        </w:tc>
        <w:tc>
          <w:tcPr>
            <w:tcW w:w="3402" w:type="dxa"/>
          </w:tcPr>
          <w:p w:rsidR="00EF2FD6" w:rsidRPr="00545F65" w:rsidRDefault="00EF2FD6" w:rsidP="009915D8">
            <w:pPr>
              <w:tabs>
                <w:tab w:val="left" w:pos="426"/>
              </w:tabs>
              <w:spacing w:after="120"/>
              <w:ind w:left="993"/>
              <w:rPr>
                <w:rFonts w:asciiTheme="minorHAnsi" w:hAnsiTheme="minorHAnsi"/>
              </w:rPr>
            </w:pPr>
          </w:p>
        </w:tc>
      </w:tr>
      <w:tr w:rsidR="00EF2FD6" w:rsidRPr="00545F65" w:rsidTr="005A1A30">
        <w:tc>
          <w:tcPr>
            <w:tcW w:w="6345" w:type="dxa"/>
          </w:tcPr>
          <w:p w:rsidR="00EF2FD6" w:rsidRPr="00545F65" w:rsidRDefault="002D690D" w:rsidP="00E46B2A">
            <w:pPr>
              <w:tabs>
                <w:tab w:val="left" w:pos="426"/>
              </w:tabs>
              <w:spacing w:after="120"/>
              <w:rPr>
                <w:rFonts w:asciiTheme="minorHAnsi" w:hAnsiTheme="minorHAnsi"/>
              </w:rPr>
            </w:pPr>
            <w:r w:rsidRPr="00545F65">
              <w:rPr>
                <w:rFonts w:asciiTheme="minorHAnsi" w:hAnsiTheme="minorHAnsi"/>
              </w:rPr>
              <w:t>A</w:t>
            </w:r>
            <w:r w:rsidR="00EF2FD6" w:rsidRPr="00545F65">
              <w:rPr>
                <w:rFonts w:asciiTheme="minorHAnsi" w:hAnsiTheme="minorHAnsi"/>
              </w:rPr>
              <w:t xml:space="preserve">ppropriate resources, including academic staff, are available to deliver the programme </w:t>
            </w:r>
          </w:p>
        </w:tc>
        <w:tc>
          <w:tcPr>
            <w:tcW w:w="3402" w:type="dxa"/>
          </w:tcPr>
          <w:p w:rsidR="00EF2FD6" w:rsidRPr="00545F65" w:rsidRDefault="00EF2FD6" w:rsidP="009915D8">
            <w:pPr>
              <w:tabs>
                <w:tab w:val="left" w:pos="426"/>
              </w:tabs>
              <w:spacing w:after="120"/>
              <w:rPr>
                <w:rFonts w:asciiTheme="minorHAnsi" w:hAnsiTheme="minorHAnsi"/>
              </w:rPr>
            </w:pPr>
          </w:p>
        </w:tc>
      </w:tr>
      <w:tr w:rsidR="00EF2FD6" w:rsidRPr="00545F65" w:rsidTr="005A1A30">
        <w:tc>
          <w:tcPr>
            <w:tcW w:w="6345" w:type="dxa"/>
          </w:tcPr>
          <w:p w:rsidR="00EF2FD6" w:rsidRPr="00545F65" w:rsidRDefault="002D690D" w:rsidP="00E46B2A">
            <w:pPr>
              <w:tabs>
                <w:tab w:val="left" w:pos="426"/>
              </w:tabs>
              <w:spacing w:after="120"/>
              <w:rPr>
                <w:rFonts w:asciiTheme="minorHAnsi" w:hAnsiTheme="minorHAnsi"/>
              </w:rPr>
            </w:pPr>
            <w:r w:rsidRPr="00545F65">
              <w:rPr>
                <w:rFonts w:asciiTheme="minorHAnsi" w:hAnsiTheme="minorHAnsi"/>
              </w:rPr>
              <w:t>A</w:t>
            </w:r>
            <w:r w:rsidR="00EF2FD6" w:rsidRPr="00545F65">
              <w:rPr>
                <w:rFonts w:asciiTheme="minorHAnsi" w:hAnsiTheme="minorHAnsi"/>
              </w:rPr>
              <w:t>ssessment methods, criteria and moderation procedures are consistent with the New Zealand based programme delivery</w:t>
            </w:r>
          </w:p>
        </w:tc>
        <w:tc>
          <w:tcPr>
            <w:tcW w:w="3402" w:type="dxa"/>
          </w:tcPr>
          <w:p w:rsidR="00EF2FD6" w:rsidRPr="00545F65" w:rsidRDefault="00EF2FD6" w:rsidP="009915D8">
            <w:pPr>
              <w:tabs>
                <w:tab w:val="left" w:pos="426"/>
              </w:tabs>
              <w:spacing w:after="120"/>
              <w:rPr>
                <w:rFonts w:asciiTheme="minorHAnsi" w:hAnsiTheme="minorHAnsi"/>
              </w:rPr>
            </w:pPr>
          </w:p>
        </w:tc>
      </w:tr>
      <w:tr w:rsidR="00EF2FD6" w:rsidRPr="00545F65" w:rsidTr="005A1A30">
        <w:tc>
          <w:tcPr>
            <w:tcW w:w="6345" w:type="dxa"/>
          </w:tcPr>
          <w:p w:rsidR="00EF2FD6" w:rsidRPr="00545F65" w:rsidRDefault="002D690D" w:rsidP="00E46B2A">
            <w:pPr>
              <w:tabs>
                <w:tab w:val="left" w:pos="426"/>
              </w:tabs>
              <w:spacing w:after="120"/>
              <w:rPr>
                <w:rFonts w:asciiTheme="minorHAnsi" w:hAnsiTheme="minorHAnsi"/>
              </w:rPr>
            </w:pPr>
            <w:r w:rsidRPr="00545F65">
              <w:rPr>
                <w:rFonts w:asciiTheme="minorHAnsi" w:hAnsiTheme="minorHAnsi"/>
              </w:rPr>
              <w:t>E</w:t>
            </w:r>
            <w:r w:rsidR="00EF2FD6" w:rsidRPr="00545F65">
              <w:rPr>
                <w:rFonts w:asciiTheme="minorHAnsi" w:hAnsiTheme="minorHAnsi"/>
              </w:rPr>
              <w:t>ffective student and academic support services are provided together with relevant and accurate information for intending and enrolled students</w:t>
            </w:r>
          </w:p>
        </w:tc>
        <w:tc>
          <w:tcPr>
            <w:tcW w:w="3402" w:type="dxa"/>
          </w:tcPr>
          <w:p w:rsidR="00EF2FD6" w:rsidRPr="00545F65" w:rsidRDefault="00EF2FD6" w:rsidP="009915D8">
            <w:pPr>
              <w:tabs>
                <w:tab w:val="left" w:pos="426"/>
              </w:tabs>
              <w:spacing w:after="120"/>
              <w:rPr>
                <w:rFonts w:asciiTheme="minorHAnsi" w:hAnsiTheme="minorHAnsi"/>
              </w:rPr>
            </w:pPr>
          </w:p>
        </w:tc>
      </w:tr>
      <w:tr w:rsidR="00EF2FD6" w:rsidRPr="00545F65" w:rsidTr="005A1A30">
        <w:tc>
          <w:tcPr>
            <w:tcW w:w="6345" w:type="dxa"/>
          </w:tcPr>
          <w:p w:rsidR="00EF2FD6" w:rsidRPr="00545F65" w:rsidRDefault="002D690D" w:rsidP="00E46B2A">
            <w:pPr>
              <w:tabs>
                <w:tab w:val="left" w:pos="426"/>
              </w:tabs>
              <w:spacing w:after="120"/>
              <w:rPr>
                <w:rFonts w:asciiTheme="minorHAnsi" w:hAnsiTheme="minorHAnsi"/>
              </w:rPr>
            </w:pPr>
            <w:r w:rsidRPr="00545F65">
              <w:rPr>
                <w:rFonts w:asciiTheme="minorHAnsi" w:hAnsiTheme="minorHAnsi"/>
              </w:rPr>
              <w:t>P</w:t>
            </w:r>
            <w:r w:rsidR="00EF2FD6" w:rsidRPr="00545F65">
              <w:rPr>
                <w:rFonts w:asciiTheme="minorHAnsi" w:hAnsiTheme="minorHAnsi"/>
              </w:rPr>
              <w:t>rovisions for the management of students are in place should the offshore delivery of the programme cease</w:t>
            </w:r>
          </w:p>
        </w:tc>
        <w:tc>
          <w:tcPr>
            <w:tcW w:w="3402" w:type="dxa"/>
          </w:tcPr>
          <w:p w:rsidR="00EF2FD6" w:rsidRPr="00545F65" w:rsidRDefault="00EF2FD6" w:rsidP="009915D8">
            <w:pPr>
              <w:tabs>
                <w:tab w:val="left" w:pos="426"/>
              </w:tabs>
              <w:spacing w:after="120"/>
              <w:rPr>
                <w:rFonts w:asciiTheme="minorHAnsi" w:hAnsiTheme="minorHAnsi"/>
              </w:rPr>
            </w:pPr>
          </w:p>
        </w:tc>
      </w:tr>
      <w:tr w:rsidR="00EF2FD6" w:rsidRPr="00545F65" w:rsidTr="005A1A30">
        <w:tc>
          <w:tcPr>
            <w:tcW w:w="6345" w:type="dxa"/>
          </w:tcPr>
          <w:p w:rsidR="00EF2FD6" w:rsidRPr="00545F65" w:rsidRDefault="002D690D" w:rsidP="00E46B2A">
            <w:pPr>
              <w:tabs>
                <w:tab w:val="left" w:pos="426"/>
              </w:tabs>
              <w:spacing w:after="120"/>
              <w:rPr>
                <w:rFonts w:asciiTheme="minorHAnsi" w:hAnsiTheme="minorHAnsi"/>
              </w:rPr>
            </w:pPr>
            <w:r w:rsidRPr="00545F65">
              <w:rPr>
                <w:rFonts w:asciiTheme="minorHAnsi" w:hAnsiTheme="minorHAnsi"/>
              </w:rPr>
              <w:t>T</w:t>
            </w:r>
            <w:r w:rsidR="00EF2FD6" w:rsidRPr="00545F65">
              <w:rPr>
                <w:rFonts w:asciiTheme="minorHAnsi" w:hAnsiTheme="minorHAnsi"/>
              </w:rPr>
              <w:t xml:space="preserve">he offshore delivery of the programme has been included in the university’s quality assurance systems. </w:t>
            </w:r>
          </w:p>
        </w:tc>
        <w:tc>
          <w:tcPr>
            <w:tcW w:w="3402" w:type="dxa"/>
          </w:tcPr>
          <w:p w:rsidR="00EF2FD6" w:rsidRPr="00545F65" w:rsidRDefault="00EF2FD6" w:rsidP="009915D8">
            <w:pPr>
              <w:tabs>
                <w:tab w:val="left" w:pos="426"/>
              </w:tabs>
              <w:spacing w:after="120"/>
              <w:rPr>
                <w:rFonts w:asciiTheme="minorHAnsi" w:hAnsiTheme="minorHAnsi"/>
              </w:rPr>
            </w:pPr>
          </w:p>
        </w:tc>
      </w:tr>
    </w:tbl>
    <w:p w:rsidR="00A70C43" w:rsidRPr="00545F65" w:rsidRDefault="00A70C43" w:rsidP="00EF2FD6">
      <w:pPr>
        <w:rPr>
          <w:rFonts w:asciiTheme="minorHAnsi" w:hAnsiTheme="minorHAnsi"/>
        </w:rPr>
      </w:pPr>
    </w:p>
    <w:sectPr w:rsidR="00A70C43" w:rsidRPr="00545F65" w:rsidSect="005A1A30">
      <w:headerReference w:type="even" r:id="rId9"/>
      <w:headerReference w:type="default" r:id="rId10"/>
      <w:footerReference w:type="even" r:id="rId11"/>
      <w:footerReference w:type="default" r:id="rId12"/>
      <w:headerReference w:type="first" r:id="rId13"/>
      <w:footerReference w:type="first" r:id="rId14"/>
      <w:pgSz w:w="11906" w:h="16838"/>
      <w:pgMar w:top="993" w:right="849" w:bottom="709" w:left="1440" w:header="708"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90" w:rsidRDefault="00362690" w:rsidP="00805A02">
      <w:pPr>
        <w:spacing w:after="0" w:line="240" w:lineRule="auto"/>
      </w:pPr>
      <w:r>
        <w:separator/>
      </w:r>
    </w:p>
  </w:endnote>
  <w:endnote w:type="continuationSeparator" w:id="0">
    <w:p w:rsidR="00362690" w:rsidRDefault="00362690" w:rsidP="00805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5" w:rsidRDefault="001C27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463452"/>
      <w:docPartObj>
        <w:docPartGallery w:val="Page Numbers (Bottom of Page)"/>
        <w:docPartUnique/>
      </w:docPartObj>
    </w:sdtPr>
    <w:sdtEndPr>
      <w:rPr>
        <w:noProof/>
        <w:sz w:val="18"/>
        <w:szCs w:val="18"/>
      </w:rPr>
    </w:sdtEndPr>
    <w:sdtContent>
      <w:p w:rsidR="00AB6E2A" w:rsidRDefault="005A1A30">
        <w:pPr>
          <w:pStyle w:val="Footer"/>
          <w:jc w:val="center"/>
          <w:rPr>
            <w:noProof/>
            <w:sz w:val="18"/>
            <w:szCs w:val="18"/>
          </w:rPr>
        </w:pPr>
        <w:r w:rsidRPr="005A1A30">
          <w:rPr>
            <w:sz w:val="18"/>
            <w:szCs w:val="18"/>
          </w:rPr>
          <w:fldChar w:fldCharType="begin"/>
        </w:r>
        <w:r w:rsidRPr="005A1A30">
          <w:rPr>
            <w:sz w:val="18"/>
            <w:szCs w:val="18"/>
          </w:rPr>
          <w:instrText xml:space="preserve"> PAGE   \* MERGEFORMAT </w:instrText>
        </w:r>
        <w:r w:rsidRPr="005A1A30">
          <w:rPr>
            <w:sz w:val="18"/>
            <w:szCs w:val="18"/>
          </w:rPr>
          <w:fldChar w:fldCharType="separate"/>
        </w:r>
        <w:r w:rsidR="001C2785">
          <w:rPr>
            <w:noProof/>
            <w:sz w:val="18"/>
            <w:szCs w:val="18"/>
          </w:rPr>
          <w:t>2</w:t>
        </w:r>
        <w:r w:rsidRPr="005A1A30">
          <w:rPr>
            <w:noProof/>
            <w:sz w:val="18"/>
            <w:szCs w:val="18"/>
          </w:rPr>
          <w:fldChar w:fldCharType="end"/>
        </w:r>
      </w:p>
      <w:p w:rsidR="005A1A30" w:rsidRPr="005A1A30" w:rsidRDefault="00AB6E2A" w:rsidP="00AB6E2A">
        <w:pPr>
          <w:pStyle w:val="Footer"/>
          <w:rPr>
            <w:sz w:val="18"/>
            <w:szCs w:val="18"/>
          </w:rPr>
        </w:pPr>
        <w:r>
          <w:rPr>
            <w:rFonts w:asciiTheme="minorHAnsi" w:hAnsiTheme="minorHAnsi"/>
            <w:noProof/>
            <w:sz w:val="16"/>
            <w:szCs w:val="16"/>
          </w:rPr>
          <w:t xml:space="preserve">Offshore Offering_CUAP Summary_Released </w:t>
        </w:r>
        <w:r w:rsidR="001C2785">
          <w:rPr>
            <w:rFonts w:asciiTheme="minorHAnsi" w:hAnsiTheme="minorHAnsi"/>
            <w:noProof/>
            <w:sz w:val="16"/>
            <w:szCs w:val="16"/>
          </w:rPr>
          <w:t>February</w:t>
        </w:r>
        <w:bookmarkStart w:id="5" w:name="_GoBack"/>
        <w:bookmarkEnd w:id="5"/>
        <w:r>
          <w:rPr>
            <w:rFonts w:asciiTheme="minorHAnsi" w:hAnsiTheme="minorHAnsi"/>
            <w:noProof/>
            <w:sz w:val="16"/>
            <w:szCs w:val="16"/>
          </w:rPr>
          <w:t xml:space="preserve"> 2015</w:t>
        </w:r>
      </w:p>
    </w:sdtContent>
  </w:sdt>
  <w:p w:rsidR="005A1A30" w:rsidRDefault="005A1A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5" w:rsidRDefault="001C27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90" w:rsidRDefault="00362690" w:rsidP="00805A02">
      <w:pPr>
        <w:spacing w:after="0" w:line="240" w:lineRule="auto"/>
      </w:pPr>
      <w:r>
        <w:separator/>
      </w:r>
    </w:p>
  </w:footnote>
  <w:footnote w:type="continuationSeparator" w:id="0">
    <w:p w:rsidR="00362690" w:rsidRDefault="00362690" w:rsidP="00805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5" w:rsidRDefault="001C27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5" w:rsidRDefault="001C27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85" w:rsidRDefault="001C27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0FD9"/>
    <w:multiLevelType w:val="hybridMultilevel"/>
    <w:tmpl w:val="794A8408"/>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
    <w:nsid w:val="1665505C"/>
    <w:multiLevelType w:val="hybridMultilevel"/>
    <w:tmpl w:val="218EAD66"/>
    <w:lvl w:ilvl="0" w:tplc="14090003">
      <w:start w:val="1"/>
      <w:numFmt w:val="bullet"/>
      <w:lvlText w:val="o"/>
      <w:lvlJc w:val="left"/>
      <w:pPr>
        <w:ind w:left="1146" w:hanging="360"/>
      </w:pPr>
      <w:rPr>
        <w:rFonts w:ascii="Courier New" w:hAnsi="Courier New" w:cs="Courier New"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2">
    <w:nsid w:val="19992CB4"/>
    <w:multiLevelType w:val="hybridMultilevel"/>
    <w:tmpl w:val="7F4621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211678A6"/>
    <w:multiLevelType w:val="hybridMultilevel"/>
    <w:tmpl w:val="A9A6AE92"/>
    <w:lvl w:ilvl="0" w:tplc="14090001">
      <w:start w:val="1"/>
      <w:numFmt w:val="bullet"/>
      <w:lvlText w:val=""/>
      <w:lvlJc w:val="left"/>
      <w:pPr>
        <w:ind w:left="1146" w:hanging="360"/>
      </w:pPr>
      <w:rPr>
        <w:rFonts w:ascii="Symbol" w:hAnsi="Symbol" w:hint="default"/>
      </w:rPr>
    </w:lvl>
    <w:lvl w:ilvl="1" w:tplc="14090001">
      <w:start w:val="1"/>
      <w:numFmt w:val="bullet"/>
      <w:lvlText w:val=""/>
      <w:lvlJc w:val="left"/>
      <w:pPr>
        <w:ind w:left="1866" w:hanging="360"/>
      </w:pPr>
      <w:rPr>
        <w:rFonts w:ascii="Symbol" w:hAnsi="Symbol"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4">
    <w:nsid w:val="27B761C0"/>
    <w:multiLevelType w:val="hybridMultilevel"/>
    <w:tmpl w:val="AA2CF76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7C949EF"/>
    <w:multiLevelType w:val="hybridMultilevel"/>
    <w:tmpl w:val="20EC5C2A"/>
    <w:lvl w:ilvl="0" w:tplc="428C43A4">
      <w:start w:val="1"/>
      <w:numFmt w:val="decimal"/>
      <w:pStyle w:val="Heading2"/>
      <w:lvlText w:val="%1.2"/>
      <w:lvlJc w:val="left"/>
      <w:pPr>
        <w:ind w:left="720" w:hanging="360"/>
      </w:pPr>
      <w:rPr>
        <w:rFonts w:ascii="Verdana" w:hAnsi="Verdana" w:cs="Times New Roman" w:hint="default"/>
        <w:b/>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nsid w:val="3F0858BD"/>
    <w:multiLevelType w:val="hybridMultilevel"/>
    <w:tmpl w:val="F82C4612"/>
    <w:lvl w:ilvl="0" w:tplc="B8342774">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7">
    <w:nsid w:val="40F075B3"/>
    <w:multiLevelType w:val="hybridMultilevel"/>
    <w:tmpl w:val="F82C4612"/>
    <w:lvl w:ilvl="0" w:tplc="B8342774">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nsid w:val="41603F03"/>
    <w:multiLevelType w:val="hybridMultilevel"/>
    <w:tmpl w:val="0F58E112"/>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9">
    <w:nsid w:val="41853A86"/>
    <w:multiLevelType w:val="hybridMultilevel"/>
    <w:tmpl w:val="ABC2CCE0"/>
    <w:lvl w:ilvl="0" w:tplc="14090003">
      <w:start w:val="1"/>
      <w:numFmt w:val="bullet"/>
      <w:lvlText w:val="o"/>
      <w:lvlJc w:val="left"/>
      <w:pPr>
        <w:ind w:left="1146" w:hanging="360"/>
      </w:pPr>
      <w:rPr>
        <w:rFonts w:ascii="Courier New" w:hAnsi="Courier New" w:cs="Courier New"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10">
    <w:nsid w:val="4675433B"/>
    <w:multiLevelType w:val="hybridMultilevel"/>
    <w:tmpl w:val="C0D68C10"/>
    <w:lvl w:ilvl="0" w:tplc="14090003">
      <w:start w:val="1"/>
      <w:numFmt w:val="bullet"/>
      <w:lvlText w:val="o"/>
      <w:lvlJc w:val="left"/>
      <w:pPr>
        <w:ind w:left="1146" w:hanging="360"/>
      </w:pPr>
      <w:rPr>
        <w:rFonts w:ascii="Courier New" w:hAnsi="Courier New" w:cs="Courier New"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11">
    <w:nsid w:val="541F689C"/>
    <w:multiLevelType w:val="hybridMultilevel"/>
    <w:tmpl w:val="F82C4612"/>
    <w:lvl w:ilvl="0" w:tplc="B8342774">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nsid w:val="5FDA72F4"/>
    <w:multiLevelType w:val="hybridMultilevel"/>
    <w:tmpl w:val="84E256A4"/>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3">
    <w:nsid w:val="60207403"/>
    <w:multiLevelType w:val="multilevel"/>
    <w:tmpl w:val="9F0064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61D56DE3"/>
    <w:multiLevelType w:val="hybridMultilevel"/>
    <w:tmpl w:val="E27C4C24"/>
    <w:lvl w:ilvl="0" w:tplc="14090001">
      <w:start w:val="1"/>
      <w:numFmt w:val="bullet"/>
      <w:lvlText w:val=""/>
      <w:lvlJc w:val="left"/>
      <w:pPr>
        <w:ind w:left="1146" w:hanging="360"/>
      </w:pPr>
      <w:rPr>
        <w:rFonts w:ascii="Symbol" w:hAnsi="Symbol" w:hint="default"/>
      </w:rPr>
    </w:lvl>
    <w:lvl w:ilvl="1" w:tplc="14090003">
      <w:start w:val="1"/>
      <w:numFmt w:val="bullet"/>
      <w:lvlText w:val="o"/>
      <w:lvlJc w:val="left"/>
      <w:pPr>
        <w:ind w:left="1866" w:hanging="360"/>
      </w:pPr>
      <w:rPr>
        <w:rFonts w:ascii="Courier New" w:hAnsi="Courier New" w:cs="Courier New" w:hint="default"/>
      </w:rPr>
    </w:lvl>
    <w:lvl w:ilvl="2" w:tplc="14090005">
      <w:start w:val="1"/>
      <w:numFmt w:val="bullet"/>
      <w:lvlText w:val=""/>
      <w:lvlJc w:val="left"/>
      <w:pPr>
        <w:ind w:left="2586" w:hanging="360"/>
      </w:pPr>
      <w:rPr>
        <w:rFonts w:ascii="Wingdings" w:hAnsi="Wingdings" w:hint="default"/>
      </w:rPr>
    </w:lvl>
    <w:lvl w:ilvl="3" w:tplc="14090001">
      <w:start w:val="1"/>
      <w:numFmt w:val="bullet"/>
      <w:lvlText w:val=""/>
      <w:lvlJc w:val="left"/>
      <w:pPr>
        <w:ind w:left="3306" w:hanging="360"/>
      </w:pPr>
      <w:rPr>
        <w:rFonts w:ascii="Symbol" w:hAnsi="Symbol" w:hint="default"/>
      </w:rPr>
    </w:lvl>
    <w:lvl w:ilvl="4" w:tplc="14090003">
      <w:start w:val="1"/>
      <w:numFmt w:val="bullet"/>
      <w:lvlText w:val="o"/>
      <w:lvlJc w:val="left"/>
      <w:pPr>
        <w:ind w:left="4026" w:hanging="360"/>
      </w:pPr>
      <w:rPr>
        <w:rFonts w:ascii="Courier New" w:hAnsi="Courier New" w:cs="Courier New" w:hint="default"/>
      </w:rPr>
    </w:lvl>
    <w:lvl w:ilvl="5" w:tplc="14090005">
      <w:start w:val="1"/>
      <w:numFmt w:val="bullet"/>
      <w:lvlText w:val=""/>
      <w:lvlJc w:val="left"/>
      <w:pPr>
        <w:ind w:left="4746" w:hanging="360"/>
      </w:pPr>
      <w:rPr>
        <w:rFonts w:ascii="Wingdings" w:hAnsi="Wingdings" w:hint="default"/>
      </w:rPr>
    </w:lvl>
    <w:lvl w:ilvl="6" w:tplc="14090001">
      <w:start w:val="1"/>
      <w:numFmt w:val="bullet"/>
      <w:lvlText w:val=""/>
      <w:lvlJc w:val="left"/>
      <w:pPr>
        <w:ind w:left="5466" w:hanging="360"/>
      </w:pPr>
      <w:rPr>
        <w:rFonts w:ascii="Symbol" w:hAnsi="Symbol" w:hint="default"/>
      </w:rPr>
    </w:lvl>
    <w:lvl w:ilvl="7" w:tplc="14090003">
      <w:start w:val="1"/>
      <w:numFmt w:val="bullet"/>
      <w:lvlText w:val="o"/>
      <w:lvlJc w:val="left"/>
      <w:pPr>
        <w:ind w:left="6186" w:hanging="360"/>
      </w:pPr>
      <w:rPr>
        <w:rFonts w:ascii="Courier New" w:hAnsi="Courier New" w:cs="Courier New" w:hint="default"/>
      </w:rPr>
    </w:lvl>
    <w:lvl w:ilvl="8" w:tplc="14090005">
      <w:start w:val="1"/>
      <w:numFmt w:val="bullet"/>
      <w:lvlText w:val=""/>
      <w:lvlJc w:val="left"/>
      <w:pPr>
        <w:ind w:left="6906" w:hanging="360"/>
      </w:pPr>
      <w:rPr>
        <w:rFonts w:ascii="Wingdings" w:hAnsi="Wingdings" w:hint="default"/>
      </w:rPr>
    </w:lvl>
  </w:abstractNum>
  <w:abstractNum w:abstractNumId="15">
    <w:nsid w:val="68E60050"/>
    <w:multiLevelType w:val="hybridMultilevel"/>
    <w:tmpl w:val="F82C4612"/>
    <w:lvl w:ilvl="0" w:tplc="B8342774">
      <w:start w:val="1"/>
      <w:numFmt w:val="decimal"/>
      <w:lvlText w:val="%1."/>
      <w:lvlJc w:val="left"/>
      <w:pPr>
        <w:ind w:left="1080" w:hanging="72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6">
    <w:nsid w:val="6CD025EF"/>
    <w:multiLevelType w:val="hybridMultilevel"/>
    <w:tmpl w:val="DDFC887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79E51BED"/>
    <w:multiLevelType w:val="hybridMultilevel"/>
    <w:tmpl w:val="EF74F5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5"/>
  </w:num>
  <w:num w:numId="11">
    <w:abstractNumId w:val="4"/>
  </w:num>
  <w:num w:numId="12">
    <w:abstractNumId w:val="1"/>
  </w:num>
  <w:num w:numId="13">
    <w:abstractNumId w:val="9"/>
  </w:num>
  <w:num w:numId="14">
    <w:abstractNumId w:val="10"/>
  </w:num>
  <w:num w:numId="15">
    <w:abstractNumId w:val="17"/>
  </w:num>
  <w:num w:numId="16">
    <w:abstractNumId w:val="16"/>
  </w:num>
  <w:num w:numId="17">
    <w:abstractNumId w:val="8"/>
  </w:num>
  <w:num w:numId="18">
    <w:abstractNumId w:val="12"/>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5"/>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A02"/>
    <w:rsid w:val="000313C7"/>
    <w:rsid w:val="001121FF"/>
    <w:rsid w:val="001C2785"/>
    <w:rsid w:val="001C7411"/>
    <w:rsid w:val="00245D70"/>
    <w:rsid w:val="002D690D"/>
    <w:rsid w:val="002E1BB2"/>
    <w:rsid w:val="00305D9D"/>
    <w:rsid w:val="00360182"/>
    <w:rsid w:val="00362690"/>
    <w:rsid w:val="004139BC"/>
    <w:rsid w:val="005130EA"/>
    <w:rsid w:val="00545F65"/>
    <w:rsid w:val="0058346F"/>
    <w:rsid w:val="00585DDF"/>
    <w:rsid w:val="005A1A30"/>
    <w:rsid w:val="005D3CE4"/>
    <w:rsid w:val="006572EF"/>
    <w:rsid w:val="006D1DF6"/>
    <w:rsid w:val="00737B52"/>
    <w:rsid w:val="00744591"/>
    <w:rsid w:val="007B0826"/>
    <w:rsid w:val="007E280D"/>
    <w:rsid w:val="00805A02"/>
    <w:rsid w:val="008A0592"/>
    <w:rsid w:val="008D6A46"/>
    <w:rsid w:val="00912140"/>
    <w:rsid w:val="009915D8"/>
    <w:rsid w:val="00A637F5"/>
    <w:rsid w:val="00A70C43"/>
    <w:rsid w:val="00AB6E2A"/>
    <w:rsid w:val="00BC35CE"/>
    <w:rsid w:val="00BE4EA4"/>
    <w:rsid w:val="00CC1B64"/>
    <w:rsid w:val="00D77C9C"/>
    <w:rsid w:val="00D80B4F"/>
    <w:rsid w:val="00D8637D"/>
    <w:rsid w:val="00DD4251"/>
    <w:rsid w:val="00E70FC8"/>
    <w:rsid w:val="00E84054"/>
    <w:rsid w:val="00EC2FA4"/>
    <w:rsid w:val="00EC460D"/>
    <w:rsid w:val="00EF2FD6"/>
    <w:rsid w:val="00FB59ED"/>
    <w:rsid w:val="00FE1754"/>
    <w:rsid w:val="00FF4A12"/>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02"/>
  </w:style>
  <w:style w:type="paragraph" w:styleId="Heading1">
    <w:name w:val="heading 1"/>
    <w:basedOn w:val="Normal"/>
    <w:next w:val="Normal"/>
    <w:link w:val="Heading1Char"/>
    <w:uiPriority w:val="9"/>
    <w:qFormat/>
    <w:rsid w:val="00805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5A02"/>
    <w:pPr>
      <w:keepNext/>
      <w:keepLines/>
      <w:numPr>
        <w:numId w:val="1"/>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semiHidden/>
    <w:unhideWhenUsed/>
    <w:qFormat/>
    <w:rsid w:val="00805A02"/>
    <w:pPr>
      <w:keepNext/>
      <w:keepLines/>
      <w:spacing w:before="200" w:after="0"/>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5A02"/>
    <w:rPr>
      <w:rFonts w:eastAsiaTheme="majorEastAsia" w:cstheme="majorBidi"/>
      <w:b/>
      <w:bCs/>
      <w:sz w:val="20"/>
      <w:szCs w:val="26"/>
    </w:rPr>
  </w:style>
  <w:style w:type="character" w:customStyle="1" w:styleId="Heading3Char">
    <w:name w:val="Heading 3 Char"/>
    <w:basedOn w:val="DefaultParagraphFont"/>
    <w:link w:val="Heading3"/>
    <w:uiPriority w:val="9"/>
    <w:semiHidden/>
    <w:rsid w:val="00805A02"/>
    <w:rPr>
      <w:rFonts w:eastAsiaTheme="majorEastAsia" w:cstheme="majorBidi"/>
      <w:b/>
      <w:bCs/>
      <w:sz w:val="20"/>
    </w:rPr>
  </w:style>
  <w:style w:type="paragraph" w:styleId="FootnoteText">
    <w:name w:val="footnote text"/>
    <w:basedOn w:val="Normal"/>
    <w:link w:val="FootnoteTextChar"/>
    <w:uiPriority w:val="99"/>
    <w:semiHidden/>
    <w:unhideWhenUsed/>
    <w:rsid w:val="00805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A02"/>
    <w:rPr>
      <w:sz w:val="20"/>
      <w:szCs w:val="20"/>
    </w:rPr>
  </w:style>
  <w:style w:type="paragraph" w:styleId="ListParagraph">
    <w:name w:val="List Paragraph"/>
    <w:basedOn w:val="Normal"/>
    <w:uiPriority w:val="34"/>
    <w:qFormat/>
    <w:rsid w:val="00805A02"/>
    <w:pPr>
      <w:ind w:left="720"/>
      <w:contextualSpacing/>
    </w:pPr>
  </w:style>
  <w:style w:type="character" w:styleId="FootnoteReference">
    <w:name w:val="footnote reference"/>
    <w:basedOn w:val="DefaultParagraphFont"/>
    <w:uiPriority w:val="99"/>
    <w:semiHidden/>
    <w:unhideWhenUsed/>
    <w:rsid w:val="00805A02"/>
    <w:rPr>
      <w:vertAlign w:val="superscript"/>
    </w:rPr>
  </w:style>
  <w:style w:type="table" w:styleId="TableGrid">
    <w:name w:val="Table Grid"/>
    <w:basedOn w:val="TableNormal"/>
    <w:uiPriority w:val="59"/>
    <w:rsid w:val="0080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0D"/>
    <w:rPr>
      <w:rFonts w:ascii="Tahoma" w:hAnsi="Tahoma" w:cs="Tahoma"/>
      <w:sz w:val="16"/>
      <w:szCs w:val="16"/>
    </w:rPr>
  </w:style>
  <w:style w:type="paragraph" w:styleId="Header">
    <w:name w:val="header"/>
    <w:basedOn w:val="Normal"/>
    <w:link w:val="HeaderChar"/>
    <w:uiPriority w:val="99"/>
    <w:unhideWhenUsed/>
    <w:rsid w:val="005A1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30"/>
  </w:style>
  <w:style w:type="paragraph" w:styleId="Footer">
    <w:name w:val="footer"/>
    <w:basedOn w:val="Normal"/>
    <w:link w:val="FooterChar"/>
    <w:uiPriority w:val="99"/>
    <w:unhideWhenUsed/>
    <w:rsid w:val="005A1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02"/>
  </w:style>
  <w:style w:type="paragraph" w:styleId="Heading1">
    <w:name w:val="heading 1"/>
    <w:basedOn w:val="Normal"/>
    <w:next w:val="Normal"/>
    <w:link w:val="Heading1Char"/>
    <w:uiPriority w:val="9"/>
    <w:qFormat/>
    <w:rsid w:val="00805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5A02"/>
    <w:pPr>
      <w:keepNext/>
      <w:keepLines/>
      <w:numPr>
        <w:numId w:val="1"/>
      </w:numPr>
      <w:spacing w:before="200" w:after="0"/>
      <w:outlineLvl w:val="1"/>
    </w:pPr>
    <w:rPr>
      <w:rFonts w:eastAsiaTheme="majorEastAsia" w:cstheme="majorBidi"/>
      <w:b/>
      <w:bCs/>
      <w:sz w:val="20"/>
      <w:szCs w:val="26"/>
    </w:rPr>
  </w:style>
  <w:style w:type="paragraph" w:styleId="Heading3">
    <w:name w:val="heading 3"/>
    <w:basedOn w:val="Normal"/>
    <w:next w:val="Normal"/>
    <w:link w:val="Heading3Char"/>
    <w:uiPriority w:val="9"/>
    <w:semiHidden/>
    <w:unhideWhenUsed/>
    <w:qFormat/>
    <w:rsid w:val="00805A02"/>
    <w:pPr>
      <w:keepNext/>
      <w:keepLines/>
      <w:spacing w:before="200" w:after="0"/>
      <w:outlineLvl w:val="2"/>
    </w:pPr>
    <w:rPr>
      <w:rFonts w:eastAsiaTheme="majorEastAsia"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5A02"/>
    <w:rPr>
      <w:rFonts w:eastAsiaTheme="majorEastAsia" w:cstheme="majorBidi"/>
      <w:b/>
      <w:bCs/>
      <w:sz w:val="20"/>
      <w:szCs w:val="26"/>
    </w:rPr>
  </w:style>
  <w:style w:type="character" w:customStyle="1" w:styleId="Heading3Char">
    <w:name w:val="Heading 3 Char"/>
    <w:basedOn w:val="DefaultParagraphFont"/>
    <w:link w:val="Heading3"/>
    <w:uiPriority w:val="9"/>
    <w:semiHidden/>
    <w:rsid w:val="00805A02"/>
    <w:rPr>
      <w:rFonts w:eastAsiaTheme="majorEastAsia" w:cstheme="majorBidi"/>
      <w:b/>
      <w:bCs/>
      <w:sz w:val="20"/>
    </w:rPr>
  </w:style>
  <w:style w:type="paragraph" w:styleId="FootnoteText">
    <w:name w:val="footnote text"/>
    <w:basedOn w:val="Normal"/>
    <w:link w:val="FootnoteTextChar"/>
    <w:uiPriority w:val="99"/>
    <w:semiHidden/>
    <w:unhideWhenUsed/>
    <w:rsid w:val="00805A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5A02"/>
    <w:rPr>
      <w:sz w:val="20"/>
      <w:szCs w:val="20"/>
    </w:rPr>
  </w:style>
  <w:style w:type="paragraph" w:styleId="ListParagraph">
    <w:name w:val="List Paragraph"/>
    <w:basedOn w:val="Normal"/>
    <w:uiPriority w:val="34"/>
    <w:qFormat/>
    <w:rsid w:val="00805A02"/>
    <w:pPr>
      <w:ind w:left="720"/>
      <w:contextualSpacing/>
    </w:pPr>
  </w:style>
  <w:style w:type="character" w:styleId="FootnoteReference">
    <w:name w:val="footnote reference"/>
    <w:basedOn w:val="DefaultParagraphFont"/>
    <w:uiPriority w:val="99"/>
    <w:semiHidden/>
    <w:unhideWhenUsed/>
    <w:rsid w:val="00805A02"/>
    <w:rPr>
      <w:vertAlign w:val="superscript"/>
    </w:rPr>
  </w:style>
  <w:style w:type="table" w:styleId="TableGrid">
    <w:name w:val="Table Grid"/>
    <w:basedOn w:val="TableNormal"/>
    <w:uiPriority w:val="59"/>
    <w:rsid w:val="00805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90D"/>
    <w:rPr>
      <w:rFonts w:ascii="Tahoma" w:hAnsi="Tahoma" w:cs="Tahoma"/>
      <w:sz w:val="16"/>
      <w:szCs w:val="16"/>
    </w:rPr>
  </w:style>
  <w:style w:type="paragraph" w:styleId="Header">
    <w:name w:val="header"/>
    <w:basedOn w:val="Normal"/>
    <w:link w:val="HeaderChar"/>
    <w:uiPriority w:val="99"/>
    <w:unhideWhenUsed/>
    <w:rsid w:val="005A1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A30"/>
  </w:style>
  <w:style w:type="paragraph" w:styleId="Footer">
    <w:name w:val="footer"/>
    <w:basedOn w:val="Normal"/>
    <w:link w:val="FooterChar"/>
    <w:uiPriority w:val="99"/>
    <w:unhideWhenUsed/>
    <w:rsid w:val="005A1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03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7EC0F-830D-41E2-8275-CD2FBA051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Robinson</dc:creator>
  <cp:lastModifiedBy>Hickson, Pat</cp:lastModifiedBy>
  <cp:revision>4</cp:revision>
  <cp:lastPrinted>2015-01-07T02:59:00Z</cp:lastPrinted>
  <dcterms:created xsi:type="dcterms:W3CDTF">2015-02-12T02:37:00Z</dcterms:created>
  <dcterms:modified xsi:type="dcterms:W3CDTF">2015-07-27T04:33:00Z</dcterms:modified>
</cp:coreProperties>
</file>